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B146">
      <w:pPr>
        <w:spacing w:after="78"/>
        <w:jc w:val="center"/>
        <w:rPr>
          <w:rFonts w:ascii="Times New Roman" w:hAnsi="Times New Roman" w:eastAsia="方正小标宋简体"/>
          <w:bCs/>
          <w:sz w:val="32"/>
          <w:szCs w:val="32"/>
        </w:rPr>
      </w:pPr>
    </w:p>
    <w:p w14:paraId="563699B5">
      <w:pPr>
        <w:pStyle w:val="65"/>
        <w:spacing w:after="78"/>
        <w:rPr>
          <w:rFonts w:ascii="Times New Roman" w:hAnsi="Times New Roman" w:eastAsia="方正小标宋简体"/>
          <w:bCs/>
          <w:sz w:val="32"/>
          <w:szCs w:val="32"/>
        </w:rPr>
      </w:pPr>
    </w:p>
    <w:p w14:paraId="07B385FB">
      <w:pPr>
        <w:pStyle w:val="65"/>
        <w:spacing w:after="78"/>
        <w:rPr>
          <w:rFonts w:ascii="Times New Roman" w:hAnsi="Times New Roman" w:eastAsia="方正小标宋简体"/>
          <w:bCs/>
          <w:sz w:val="32"/>
          <w:szCs w:val="32"/>
        </w:rPr>
      </w:pPr>
    </w:p>
    <w:p w14:paraId="0D279DC4">
      <w:pPr>
        <w:spacing w:after="78"/>
        <w:jc w:val="center"/>
        <w:rPr>
          <w:rFonts w:ascii="Times New Roman" w:hAnsi="Times New Roman" w:eastAsia="长城小"/>
          <w:b/>
          <w:sz w:val="44"/>
          <w:szCs w:val="44"/>
        </w:rPr>
      </w:pPr>
    </w:p>
    <w:p w14:paraId="43DC28CB">
      <w:pPr>
        <w:spacing w:after="78"/>
        <w:jc w:val="center"/>
        <w:rPr>
          <w:rFonts w:ascii="Times New Roman" w:hAnsi="Times New Roman" w:eastAsia="长城小"/>
          <w:b/>
          <w:sz w:val="44"/>
          <w:szCs w:val="44"/>
        </w:rPr>
      </w:pPr>
    </w:p>
    <w:p w14:paraId="7015BD40">
      <w:pPr>
        <w:spacing w:after="78"/>
        <w:jc w:val="center"/>
        <w:rPr>
          <w:rFonts w:ascii="Times New Roman" w:hAnsi="Times New Roman" w:eastAsia="长城小"/>
          <w:b/>
          <w:sz w:val="44"/>
          <w:szCs w:val="44"/>
        </w:rPr>
      </w:pPr>
    </w:p>
    <w:p w14:paraId="0D0A215C">
      <w:pPr>
        <w:spacing w:after="78"/>
        <w:rPr>
          <w:rFonts w:ascii="Times New Roman" w:hAnsi="Times New Roman" w:eastAsia="长城小"/>
          <w:b/>
          <w:sz w:val="44"/>
          <w:szCs w:val="44"/>
        </w:rPr>
      </w:pPr>
    </w:p>
    <w:p w14:paraId="58AE897B">
      <w:pPr>
        <w:spacing w:after="78"/>
        <w:jc w:val="center"/>
        <w:rPr>
          <w:rFonts w:ascii="Times New Roman" w:hAnsi="Times New Roman" w:eastAsia="长城小"/>
          <w:b/>
          <w:sz w:val="44"/>
          <w:szCs w:val="44"/>
        </w:rPr>
      </w:pPr>
    </w:p>
    <w:p w14:paraId="3ADD235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4F64774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在线比对服务采购项目（第二次）</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C405A39">
      <w:pPr>
        <w:spacing w:after="78"/>
        <w:rPr>
          <w:rFonts w:ascii="Times New Roman" w:hAnsi="Times New Roman" w:eastAsia="方正小标宋简体"/>
          <w:sz w:val="32"/>
          <w:szCs w:val="32"/>
        </w:rPr>
      </w:pPr>
    </w:p>
    <w:p w14:paraId="2BD2137A">
      <w:pPr>
        <w:spacing w:after="78"/>
        <w:rPr>
          <w:rFonts w:ascii="Times New Roman" w:hAnsi="Times New Roman" w:eastAsia="方正小标宋简体"/>
          <w:sz w:val="32"/>
          <w:szCs w:val="32"/>
        </w:rPr>
      </w:pPr>
    </w:p>
    <w:p w14:paraId="3541EFD6">
      <w:pPr>
        <w:spacing w:after="78"/>
        <w:rPr>
          <w:rFonts w:ascii="Times New Roman" w:hAnsi="Times New Roman" w:eastAsia="方正小标宋简体"/>
          <w:sz w:val="32"/>
          <w:szCs w:val="32"/>
        </w:rPr>
      </w:pPr>
    </w:p>
    <w:p w14:paraId="3D9AA747">
      <w:pPr>
        <w:spacing w:after="78"/>
      </w:pPr>
    </w:p>
    <w:p w14:paraId="71103405">
      <w:pPr>
        <w:spacing w:after="78"/>
        <w:rPr>
          <w:rFonts w:ascii="Times New Roman" w:hAnsi="Times New Roman" w:eastAsia="方正小标宋简体"/>
          <w:sz w:val="32"/>
          <w:szCs w:val="32"/>
        </w:rPr>
      </w:pPr>
    </w:p>
    <w:p w14:paraId="15A88CDE">
      <w:pPr>
        <w:spacing w:after="78"/>
        <w:rPr>
          <w:rFonts w:ascii="Times New Roman" w:hAnsi="Times New Roman" w:eastAsia="方正小标宋简体"/>
          <w:sz w:val="32"/>
          <w:szCs w:val="32"/>
        </w:rPr>
      </w:pPr>
    </w:p>
    <w:p w14:paraId="7E30ED99">
      <w:pPr>
        <w:pStyle w:val="9"/>
        <w:rPr>
          <w:rFonts w:ascii="Times New Roman" w:hAnsi="Times New Roman" w:eastAsia="方正小标宋简体"/>
          <w:sz w:val="32"/>
          <w:szCs w:val="32"/>
        </w:rPr>
      </w:pPr>
    </w:p>
    <w:p w14:paraId="3617F554">
      <w:pPr>
        <w:spacing w:after="78"/>
      </w:pPr>
    </w:p>
    <w:p w14:paraId="502B5CF9">
      <w:pPr>
        <w:pStyle w:val="9"/>
      </w:pPr>
    </w:p>
    <w:p w14:paraId="2A9AA4E9">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9B53A11">
      <w:pPr>
        <w:spacing w:after="78"/>
      </w:pPr>
    </w:p>
    <w:p w14:paraId="0881533B">
      <w:pPr>
        <w:pStyle w:val="42"/>
        <w:spacing w:after="78" w:line="640" w:lineRule="exact"/>
        <w:ind w:firstLine="640"/>
        <w:rPr>
          <w:rFonts w:eastAsia="黑体"/>
          <w:sz w:val="32"/>
          <w:szCs w:val="32"/>
        </w:rPr>
      </w:pPr>
      <w:r>
        <w:rPr>
          <w:rFonts w:hint="eastAsia" w:eastAsia="黑体"/>
          <w:sz w:val="32"/>
          <w:szCs w:val="32"/>
        </w:rPr>
        <w:t>一、服务内容</w:t>
      </w:r>
    </w:p>
    <w:p w14:paraId="6462A29F">
      <w:pPr>
        <w:pStyle w:val="77"/>
        <w:bidi w:val="0"/>
        <w:rPr>
          <w:rFonts w:hint="eastAsia"/>
          <w:lang w:val="en-US" w:eastAsia="zh-CN"/>
        </w:rPr>
      </w:pPr>
      <w:r>
        <w:rPr>
          <w:rFonts w:hint="eastAsia"/>
          <w:lang w:val="en-US" w:eastAsia="zh-CN"/>
        </w:rPr>
        <w:t>（一）采购项目名称：在线比对服务采购项目（第二次）。</w:t>
      </w:r>
    </w:p>
    <w:p w14:paraId="3705A3B3">
      <w:pPr>
        <w:pStyle w:val="77"/>
        <w:bidi w:val="0"/>
        <w:rPr>
          <w:rFonts w:hint="eastAsia"/>
          <w:lang w:val="en-US" w:eastAsia="zh-CN"/>
        </w:rPr>
      </w:pPr>
      <w:r>
        <w:rPr>
          <w:rFonts w:hint="eastAsia"/>
          <w:lang w:val="en-US" w:eastAsia="zh-CN"/>
        </w:rPr>
        <w:t>（二）采购需求：</w:t>
      </w:r>
    </w:p>
    <w:p w14:paraId="6E65E01E">
      <w:pPr>
        <w:pStyle w:val="77"/>
        <w:bidi w:val="0"/>
        <w:rPr>
          <w:rFonts w:hint="eastAsia"/>
          <w:lang w:val="en-US" w:eastAsia="zh-CN"/>
        </w:rPr>
      </w:pPr>
      <w:r>
        <w:rPr>
          <w:rFonts w:hint="eastAsia"/>
          <w:lang w:val="en-US" w:eastAsia="zh-CN"/>
        </w:rPr>
        <w:t>观澜项目因业务需求，现需采购在线比对服务。本合同工期每季度一次，共计4季度。</w:t>
      </w:r>
    </w:p>
    <w:p w14:paraId="5553D3C9">
      <w:pPr>
        <w:pStyle w:val="77"/>
        <w:bidi w:val="0"/>
        <w:rPr>
          <w:rFonts w:hint="eastAsia"/>
          <w:lang w:val="en-US" w:eastAsia="zh-CN"/>
        </w:rPr>
      </w:pPr>
      <w:r>
        <w:rPr>
          <w:rFonts w:hint="eastAsia"/>
          <w:lang w:val="en-US" w:eastAsia="zh-CN"/>
        </w:rPr>
        <w:t>服务内容：</w:t>
      </w:r>
    </w:p>
    <w:tbl>
      <w:tblPr>
        <w:tblStyle w:val="22"/>
        <w:tblW w:w="9002" w:type="dxa"/>
        <w:jc w:val="center"/>
        <w:tblLayout w:type="autofit"/>
        <w:tblCellMar>
          <w:top w:w="0" w:type="dxa"/>
          <w:left w:w="108" w:type="dxa"/>
          <w:bottom w:w="0" w:type="dxa"/>
          <w:right w:w="108" w:type="dxa"/>
        </w:tblCellMar>
      </w:tblPr>
      <w:tblGrid>
        <w:gridCol w:w="833"/>
        <w:gridCol w:w="1716"/>
        <w:gridCol w:w="2227"/>
        <w:gridCol w:w="2113"/>
        <w:gridCol w:w="2113"/>
      </w:tblGrid>
      <w:tr w14:paraId="68B4CD44">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0BF0ADA6">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序号</w:t>
            </w:r>
          </w:p>
        </w:tc>
        <w:tc>
          <w:tcPr>
            <w:tcW w:w="1716" w:type="dxa"/>
            <w:tcBorders>
              <w:top w:val="single" w:color="auto" w:sz="4" w:space="0"/>
              <w:left w:val="single" w:color="auto" w:sz="4" w:space="0"/>
              <w:bottom w:val="single" w:color="auto" w:sz="4" w:space="0"/>
              <w:right w:val="single" w:color="auto" w:sz="4" w:space="0"/>
            </w:tcBorders>
            <w:vAlign w:val="center"/>
          </w:tcPr>
          <w:p w14:paraId="2B4274CD">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项目类别</w:t>
            </w:r>
          </w:p>
        </w:tc>
        <w:tc>
          <w:tcPr>
            <w:tcW w:w="2227" w:type="dxa"/>
            <w:tcBorders>
              <w:top w:val="single" w:color="auto" w:sz="4" w:space="0"/>
              <w:left w:val="single" w:color="auto" w:sz="4" w:space="0"/>
              <w:bottom w:val="single" w:color="auto" w:sz="4" w:space="0"/>
              <w:right w:val="single" w:color="auto" w:sz="4" w:space="0"/>
            </w:tcBorders>
            <w:vAlign w:val="center"/>
          </w:tcPr>
          <w:p w14:paraId="2F87987E">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项目内容</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72920CF6">
            <w:pPr>
              <w:widowControl/>
              <w:spacing w:after="78"/>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0"/>
                <w:sz w:val="32"/>
                <w:szCs w:val="32"/>
                <w:lang w:val="en-US" w:eastAsia="zh-CN" w:bidi="ar"/>
              </w:rPr>
              <w:t>单价限价（元）</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2A060C23">
            <w:pPr>
              <w:widowControl/>
              <w:spacing w:after="78"/>
              <w:jc w:val="center"/>
              <w:textAlignment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备注</w:t>
            </w:r>
          </w:p>
        </w:tc>
      </w:tr>
      <w:tr w14:paraId="7776D088">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2C6E6119">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16" w:type="dxa"/>
            <w:tcBorders>
              <w:top w:val="single" w:color="auto" w:sz="4" w:space="0"/>
              <w:left w:val="single" w:color="auto" w:sz="4" w:space="0"/>
              <w:bottom w:val="single" w:color="auto" w:sz="4" w:space="0"/>
              <w:right w:val="single" w:color="auto" w:sz="4" w:space="0"/>
            </w:tcBorders>
            <w:vAlign w:val="center"/>
          </w:tcPr>
          <w:p w14:paraId="218FC211">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2314D2AE">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PH值</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3F41025E">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550</w:t>
            </w:r>
          </w:p>
        </w:tc>
        <w:tc>
          <w:tcPr>
            <w:tcW w:w="2113" w:type="dxa"/>
            <w:vMerge w:val="restart"/>
            <w:tcBorders>
              <w:top w:val="single" w:color="auto" w:sz="4" w:space="0"/>
              <w:left w:val="single" w:color="auto" w:sz="4" w:space="0"/>
              <w:right w:val="single" w:color="auto" w:sz="4" w:space="0"/>
            </w:tcBorders>
            <w:shd w:val="clear" w:color="auto" w:fill="auto"/>
            <w:vAlign w:val="center"/>
          </w:tcPr>
          <w:p w14:paraId="60FAD6DF">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单价为完成一个检测点对应检测因子的检测价格。报价不得超过限价，否则视为无效报价。</w:t>
            </w:r>
          </w:p>
        </w:tc>
      </w:tr>
      <w:tr w14:paraId="3B410C4E">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712DEE26">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716" w:type="dxa"/>
            <w:tcBorders>
              <w:top w:val="single" w:color="auto" w:sz="4" w:space="0"/>
              <w:left w:val="single" w:color="auto" w:sz="4" w:space="0"/>
              <w:bottom w:val="single" w:color="auto" w:sz="4" w:space="0"/>
              <w:right w:val="single" w:color="auto" w:sz="4" w:space="0"/>
            </w:tcBorders>
            <w:vAlign w:val="center"/>
          </w:tcPr>
          <w:p w14:paraId="0A162D41">
            <w:pPr>
              <w:widowControl/>
              <w:spacing w:after="78" w:line="120" w:lineRule="auto"/>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0FD2DD6C">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SS</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778EF762">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4C1C438B">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0C342FEF">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2F23031A">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3</w:t>
            </w:r>
          </w:p>
        </w:tc>
        <w:tc>
          <w:tcPr>
            <w:tcW w:w="1716" w:type="dxa"/>
            <w:tcBorders>
              <w:top w:val="single" w:color="auto" w:sz="4" w:space="0"/>
              <w:left w:val="single" w:color="auto" w:sz="4" w:space="0"/>
              <w:bottom w:val="single" w:color="auto" w:sz="4" w:space="0"/>
              <w:right w:val="single" w:color="auto" w:sz="4" w:space="0"/>
            </w:tcBorders>
            <w:vAlign w:val="center"/>
          </w:tcPr>
          <w:p w14:paraId="795AD338">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2C4703AE">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总磷</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BCE6819">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2A643243">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7BCF3442">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52477A4D">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4</w:t>
            </w:r>
          </w:p>
        </w:tc>
        <w:tc>
          <w:tcPr>
            <w:tcW w:w="1716" w:type="dxa"/>
            <w:tcBorders>
              <w:top w:val="single" w:color="auto" w:sz="4" w:space="0"/>
              <w:left w:val="single" w:color="auto" w:sz="4" w:space="0"/>
              <w:bottom w:val="single" w:color="auto" w:sz="4" w:space="0"/>
              <w:right w:val="single" w:color="auto" w:sz="4" w:space="0"/>
            </w:tcBorders>
            <w:vAlign w:val="center"/>
          </w:tcPr>
          <w:p w14:paraId="433DC830">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09CC6BB1">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氨氮</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5F7CE6C8">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0225B6C4">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1D604801">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64891A31">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5</w:t>
            </w:r>
          </w:p>
        </w:tc>
        <w:tc>
          <w:tcPr>
            <w:tcW w:w="1716" w:type="dxa"/>
            <w:tcBorders>
              <w:top w:val="single" w:color="auto" w:sz="4" w:space="0"/>
              <w:left w:val="single" w:color="auto" w:sz="4" w:space="0"/>
              <w:bottom w:val="single" w:color="auto" w:sz="4" w:space="0"/>
              <w:right w:val="single" w:color="auto" w:sz="4" w:space="0"/>
            </w:tcBorders>
            <w:vAlign w:val="center"/>
          </w:tcPr>
          <w:p w14:paraId="65BAF4A6">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4C32CD34">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总氮</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3F4EC653">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79F707CA">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1EE78B57">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427596AB">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6</w:t>
            </w:r>
          </w:p>
        </w:tc>
        <w:tc>
          <w:tcPr>
            <w:tcW w:w="1716" w:type="dxa"/>
            <w:tcBorders>
              <w:top w:val="single" w:color="auto" w:sz="4" w:space="0"/>
              <w:left w:val="single" w:color="auto" w:sz="4" w:space="0"/>
              <w:bottom w:val="single" w:color="auto" w:sz="4" w:space="0"/>
              <w:right w:val="single" w:color="auto" w:sz="4" w:space="0"/>
            </w:tcBorders>
            <w:vAlign w:val="center"/>
          </w:tcPr>
          <w:p w14:paraId="7B338291">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2EA44212">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COD</w:t>
            </w:r>
            <w:r>
              <w:rPr>
                <w:rFonts w:hint="eastAsia" w:ascii="仿宋" w:hAnsi="仿宋" w:eastAsia="仿宋" w:cs="仿宋"/>
                <w:color w:val="000000"/>
                <w:kern w:val="0"/>
                <w:sz w:val="28"/>
                <w:szCs w:val="28"/>
                <w:vertAlign w:val="subscript"/>
                <w:lang w:val="en-US" w:eastAsia="zh-CN" w:bidi="ar"/>
              </w:rPr>
              <w:t>CR</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1996453">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bottom w:val="single" w:color="auto" w:sz="4" w:space="0"/>
              <w:right w:val="single" w:color="auto" w:sz="4" w:space="0"/>
            </w:tcBorders>
            <w:shd w:val="clear" w:color="auto" w:fill="auto"/>
            <w:vAlign w:val="center"/>
          </w:tcPr>
          <w:p w14:paraId="2C7344A6">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bl>
    <w:p w14:paraId="240D0DFF">
      <w:pPr>
        <w:pStyle w:val="77"/>
        <w:bidi w:val="0"/>
        <w:rPr>
          <w:rFonts w:hint="eastAsia"/>
          <w:lang w:val="en-US" w:eastAsia="zh-CN"/>
        </w:rPr>
      </w:pPr>
      <w:r>
        <w:rPr>
          <w:rFonts w:hint="eastAsia"/>
          <w:lang w:val="en-US" w:eastAsia="zh-CN"/>
        </w:rPr>
        <w:t>供应商报价应包含材料费、人工费、设备费、运输费、管理费、利润、税金以及合同明示或暗示的所有可预见和不可预见的一般风险、责任和义务等所有的一切相关费用。</w:t>
      </w:r>
    </w:p>
    <w:p w14:paraId="23DEADFB">
      <w:pPr>
        <w:pStyle w:val="77"/>
        <w:bidi w:val="0"/>
        <w:rPr>
          <w:rFonts w:hint="eastAsia"/>
          <w:lang w:val="en-US" w:eastAsia="zh-CN"/>
        </w:rPr>
      </w:pPr>
      <w:r>
        <w:rPr>
          <w:rFonts w:hint="eastAsia"/>
          <w:lang w:val="en-US" w:eastAsia="zh-CN"/>
        </w:rPr>
        <w:t>（三）限价要求：</w:t>
      </w:r>
      <w:r>
        <w:rPr>
          <w:rFonts w:hint="eastAsia"/>
        </w:rPr>
        <w:t>本次</w:t>
      </w:r>
      <w:r>
        <w:rPr>
          <w:rFonts w:hint="eastAsia"/>
          <w:lang w:val="en-US" w:eastAsia="zh-CN"/>
        </w:rPr>
        <w:t>采购项目各项检测因子限价见上表（报价不得超过限价要求，否则做无效报价）。</w:t>
      </w:r>
    </w:p>
    <w:p w14:paraId="179401CB">
      <w:pPr>
        <w:pStyle w:val="77"/>
        <w:bidi w:val="0"/>
        <w:rPr>
          <w:rFonts w:hint="eastAsia"/>
          <w:lang w:val="en-US" w:eastAsia="zh-CN"/>
        </w:rPr>
      </w:pPr>
      <w:r>
        <w:rPr>
          <w:rFonts w:hint="eastAsia"/>
          <w:lang w:val="en-US" w:eastAsia="zh-CN"/>
        </w:rPr>
        <w:t>（四）工期：</w:t>
      </w:r>
      <w:r>
        <w:rPr>
          <w:rFonts w:hint="eastAsia" w:eastAsia="仿宋"/>
          <w:sz w:val="32"/>
          <w:szCs w:val="32"/>
          <w:lang w:val="en-US" w:eastAsia="zh-CN"/>
        </w:rPr>
        <w:t>每轮比对服务的工期为15天。</w:t>
      </w:r>
    </w:p>
    <w:p w14:paraId="67F220E0">
      <w:pPr>
        <w:pStyle w:val="77"/>
        <w:bidi w:val="0"/>
        <w:rPr>
          <w:rFonts w:hint="eastAsia"/>
          <w:lang w:val="en-US" w:eastAsia="zh-CN"/>
        </w:rPr>
      </w:pPr>
      <w:r>
        <w:rPr>
          <w:rFonts w:hint="eastAsia"/>
          <w:lang w:val="en-US" w:eastAsia="zh-CN"/>
        </w:rPr>
        <w:t>（五）结算方式：以甲、乙双方签字确认的结算书进行结算，结算金额(元)=检测报告的服务内容和频次*检测项目单价。该检测项目单价在合同期内为固定单价，不随市场环境等原因的变动而改。</w:t>
      </w:r>
    </w:p>
    <w:p w14:paraId="10D64031">
      <w:pPr>
        <w:pStyle w:val="77"/>
        <w:bidi w:val="0"/>
        <w:rPr>
          <w:rFonts w:hint="default"/>
          <w:lang w:val="en-US" w:eastAsia="zh-CN"/>
        </w:rPr>
      </w:pPr>
      <w:r>
        <w:rPr>
          <w:rFonts w:hint="eastAsia"/>
          <w:lang w:val="en-US" w:eastAsia="zh-CN"/>
        </w:rPr>
        <w:t>（六）付款方式：签订单价合同，按季度据实支付，乙方应当向甲方提交付款申请材料，甲方审核通过后支付相应的款项。</w:t>
      </w:r>
    </w:p>
    <w:p w14:paraId="4EE42849">
      <w:pPr>
        <w:pStyle w:val="77"/>
        <w:bidi w:val="0"/>
        <w:rPr>
          <w:rFonts w:hint="eastAsia"/>
          <w:lang w:val="en-US" w:eastAsia="zh-CN"/>
        </w:rPr>
      </w:pPr>
      <w:r>
        <w:rPr>
          <w:rFonts w:hint="eastAsia"/>
          <w:lang w:val="en-US" w:eastAsia="zh-CN"/>
        </w:rPr>
        <w:t>服务地点：深圳龙华观澜。</w:t>
      </w:r>
    </w:p>
    <w:p w14:paraId="21EA5C7A">
      <w:pPr>
        <w:pStyle w:val="42"/>
        <w:spacing w:after="78" w:line="640" w:lineRule="exact"/>
        <w:ind w:firstLine="640"/>
        <w:rPr>
          <w:rFonts w:hint="eastAsia" w:eastAsia="黑体"/>
          <w:sz w:val="32"/>
          <w:szCs w:val="32"/>
        </w:rPr>
      </w:pPr>
      <w:r>
        <w:rPr>
          <w:rFonts w:hint="eastAsia" w:eastAsia="黑体"/>
          <w:sz w:val="32"/>
          <w:szCs w:val="32"/>
        </w:rPr>
        <w:t>二、资格要求及证明材料</w:t>
      </w:r>
    </w:p>
    <w:p w14:paraId="374FB4BB">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07094AF2">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6A5E639">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8870932">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CF2FD9D">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BC46C53">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373AC5E">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4B1402F0">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）供应商须具备包含pH值、悬浮物（SS）、总磷、氨氮、总氮、化学需氧量（CODcr）等检测因子的资质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提供相应的检测资质证明文件</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如CMA认证证书、资质认定计量认证证书等）。</w:t>
      </w:r>
    </w:p>
    <w:p w14:paraId="1F8DAE85">
      <w:pPr>
        <w:pStyle w:val="42"/>
        <w:spacing w:after="78" w:line="640" w:lineRule="exact"/>
        <w:ind w:firstLine="640"/>
        <w:rPr>
          <w:rFonts w:hint="eastAsia" w:eastAsia="黑体"/>
          <w:sz w:val="32"/>
          <w:szCs w:val="32"/>
        </w:rPr>
      </w:pPr>
      <w:r>
        <w:rPr>
          <w:rFonts w:hint="eastAsia" w:eastAsia="黑体"/>
          <w:sz w:val="32"/>
          <w:szCs w:val="32"/>
        </w:rPr>
        <w:t>三、参选文件要求</w:t>
      </w:r>
    </w:p>
    <w:p w14:paraId="196CDC37">
      <w:pPr>
        <w:pStyle w:val="77"/>
        <w:bidi w:val="0"/>
        <w:rPr>
          <w:rFonts w:hint="eastAsia"/>
          <w:lang w:val="en-US" w:eastAsia="zh-CN"/>
        </w:rPr>
      </w:pPr>
      <w:bookmarkStart w:id="0" w:name="_Hlk173767070"/>
      <w:r>
        <w:rPr>
          <w:rFonts w:hint="eastAsia"/>
          <w:lang w:val="en-US" w:eastAsia="zh-CN"/>
        </w:rPr>
        <w:t>参选单位应就本次选聘报送相关参选文件，包括：</w:t>
      </w:r>
    </w:p>
    <w:p w14:paraId="0048F0CB">
      <w:pPr>
        <w:pStyle w:val="77"/>
        <w:bidi w:val="0"/>
        <w:rPr>
          <w:rFonts w:hint="eastAsia"/>
          <w:lang w:val="en-US" w:eastAsia="zh-CN"/>
        </w:rPr>
      </w:pPr>
      <w:bookmarkStart w:id="1" w:name="_Hlk174440156"/>
      <w:r>
        <w:rPr>
          <w:rFonts w:hint="eastAsia"/>
          <w:lang w:val="en-US" w:eastAsia="zh-CN"/>
        </w:rPr>
        <w:t>1.供应商基本情况表</w:t>
      </w:r>
      <w:r>
        <w:rPr>
          <w:rFonts w:hint="eastAsia" w:ascii="Times New Roman" w:hAnsi="Times New Roman" w:eastAsia="仿宋_GB2312"/>
          <w:bCs/>
          <w:color w:val="000000"/>
          <w:sz w:val="32"/>
          <w:szCs w:val="32"/>
        </w:rPr>
        <w:t>。</w:t>
      </w:r>
    </w:p>
    <w:p w14:paraId="094A41D0">
      <w:pPr>
        <w:pStyle w:val="77"/>
        <w:bidi w:val="0"/>
        <w:rPr>
          <w:rFonts w:hint="eastAsia"/>
          <w:lang w:val="en-US" w:eastAsia="zh-CN"/>
        </w:rPr>
      </w:pPr>
      <w:r>
        <w:rPr>
          <w:rFonts w:hint="eastAsia"/>
          <w:lang w:val="en-US" w:eastAsia="zh-CN"/>
        </w:rPr>
        <w:t>2.资质文件（承诺函、营业执照、资质证书等）</w:t>
      </w:r>
      <w:r>
        <w:rPr>
          <w:rFonts w:hint="eastAsia" w:ascii="Times New Roman" w:hAnsi="Times New Roman" w:eastAsia="仿宋_GB2312"/>
          <w:bCs/>
          <w:color w:val="000000"/>
          <w:sz w:val="32"/>
          <w:szCs w:val="32"/>
        </w:rPr>
        <w:t>。</w:t>
      </w:r>
    </w:p>
    <w:p w14:paraId="00CB8689">
      <w:pPr>
        <w:pStyle w:val="77"/>
        <w:bidi w:val="0"/>
        <w:rPr>
          <w:rFonts w:hint="eastAsia"/>
          <w:lang w:val="en-US" w:eastAsia="zh-CN"/>
        </w:rPr>
      </w:pPr>
      <w:r>
        <w:rPr>
          <w:rFonts w:hint="eastAsia"/>
          <w:lang w:val="en-US" w:eastAsia="zh-CN"/>
        </w:rPr>
        <w:t>3.报价一览表</w:t>
      </w:r>
      <w:bookmarkEnd w:id="1"/>
      <w:r>
        <w:rPr>
          <w:rFonts w:hint="eastAsia"/>
          <w:lang w:val="en-US" w:eastAsia="zh-CN"/>
        </w:rPr>
        <w:t>（参选单位报价应包含完成本项目全部工作所应收取的全部费用（即含税包干价）。若参选单位在成交并签署合同后，在完成本项目的工作中出现的任何遗漏，均由成交参选单位免费提供，选聘单位不再支付任何费用。）</w:t>
      </w:r>
      <w:r>
        <w:rPr>
          <w:rFonts w:hint="eastAsia" w:ascii="Times New Roman" w:hAnsi="Times New Roman" w:eastAsia="仿宋_GB2312"/>
          <w:bCs/>
          <w:color w:val="000000"/>
          <w:sz w:val="32"/>
          <w:szCs w:val="32"/>
        </w:rPr>
        <w:t>。</w:t>
      </w:r>
    </w:p>
    <w:p w14:paraId="1AF4D994">
      <w:pPr>
        <w:pStyle w:val="77"/>
        <w:bidi w:val="0"/>
        <w:rPr>
          <w:rFonts w:hint="eastAsia"/>
          <w:lang w:val="en-US" w:eastAsia="zh-CN"/>
        </w:rPr>
      </w:pPr>
      <w:r>
        <w:rPr>
          <w:rFonts w:hint="eastAsia"/>
          <w:lang w:val="en-US" w:eastAsia="zh-CN"/>
        </w:rPr>
        <w:t>以上格式可参考第三章 报价文件格式，以上资料均需加盖公章、业务章或合同章（三选一），并在截止时间前递交。</w:t>
      </w:r>
    </w:p>
    <w:bookmarkEnd w:id="0"/>
    <w:p w14:paraId="3E4BC69B">
      <w:pPr>
        <w:pStyle w:val="42"/>
        <w:spacing w:after="78" w:line="640" w:lineRule="exact"/>
        <w:ind w:firstLine="640"/>
        <w:rPr>
          <w:rFonts w:hint="eastAsia" w:eastAsia="黑体"/>
          <w:sz w:val="32"/>
          <w:szCs w:val="32"/>
        </w:rPr>
      </w:pPr>
      <w:r>
        <w:rPr>
          <w:rFonts w:hint="eastAsia" w:eastAsia="黑体"/>
          <w:sz w:val="32"/>
          <w:szCs w:val="32"/>
        </w:rPr>
        <w:t>四、选聘程序</w:t>
      </w:r>
    </w:p>
    <w:p w14:paraId="7C0EFD76">
      <w:pPr>
        <w:pStyle w:val="77"/>
        <w:bidi w:val="0"/>
        <w:rPr>
          <w:rFonts w:hint="eastAsia"/>
          <w:lang w:val="en-US" w:eastAsia="zh-CN"/>
        </w:rPr>
      </w:pPr>
      <w:r>
        <w:rPr>
          <w:rFonts w:hint="eastAsia"/>
          <w:lang w:val="en-US" w:eastAsia="zh-CN"/>
        </w:rPr>
        <w:t>（一）在截止报价时间前，各参选单位以邮件形式递交报价文件至询价公告指定邮箱（邮件标题：公司名称+在线比对服务采购项目（第二次））；</w:t>
      </w:r>
    </w:p>
    <w:p w14:paraId="661E9598">
      <w:pPr>
        <w:pStyle w:val="77"/>
        <w:bidi w:val="0"/>
        <w:rPr>
          <w:rFonts w:hint="eastAsia"/>
          <w:lang w:val="en-US" w:eastAsia="zh-CN"/>
        </w:rPr>
      </w:pPr>
      <w:r>
        <w:rPr>
          <w:rFonts w:hint="eastAsia"/>
          <w:lang w:val="en-US" w:eastAsia="zh-CN"/>
        </w:rPr>
        <w:t>（三）评审委员会对参选单位进行资格审查，如存在审核未通过的单位，则记录原因并通知未通过的单位；</w:t>
      </w:r>
    </w:p>
    <w:p w14:paraId="3E5DE0A1">
      <w:pPr>
        <w:pStyle w:val="77"/>
        <w:bidi w:val="0"/>
        <w:rPr>
          <w:rFonts w:hint="eastAsia"/>
          <w:lang w:val="en-US" w:eastAsia="zh-CN"/>
        </w:rPr>
      </w:pPr>
      <w:r>
        <w:rPr>
          <w:rFonts w:hint="eastAsia"/>
          <w:lang w:val="en-US" w:eastAsia="zh-CN"/>
        </w:rPr>
        <w:t>（四）评审委员会根据询价规则形成询价报告，确定候选人排名；</w:t>
      </w:r>
    </w:p>
    <w:p w14:paraId="327F565B">
      <w:pPr>
        <w:pStyle w:val="77"/>
        <w:bidi w:val="0"/>
        <w:rPr>
          <w:rFonts w:hint="eastAsia"/>
          <w:lang w:val="en-US" w:eastAsia="zh-CN"/>
        </w:rPr>
      </w:pPr>
      <w:r>
        <w:rPr>
          <w:rFonts w:hint="eastAsia"/>
          <w:lang w:val="en-US" w:eastAsia="zh-CN"/>
        </w:rPr>
        <w:t>（五）询价结束后，采购人将询价结果报公司内部决策，通过后将结果通知中选单位，双方择日签订正式协议。</w:t>
      </w:r>
    </w:p>
    <w:p w14:paraId="5A20C10A">
      <w:pPr>
        <w:pStyle w:val="42"/>
        <w:spacing w:after="78" w:line="640" w:lineRule="exact"/>
        <w:ind w:firstLine="640"/>
        <w:rPr>
          <w:rFonts w:hint="eastAsia" w:eastAsia="黑体"/>
          <w:sz w:val="32"/>
          <w:szCs w:val="32"/>
        </w:rPr>
      </w:pPr>
      <w:r>
        <w:rPr>
          <w:rFonts w:hint="eastAsia" w:eastAsia="黑体"/>
          <w:sz w:val="32"/>
          <w:szCs w:val="32"/>
        </w:rPr>
        <w:t>五、选聘材料提交</w:t>
      </w:r>
    </w:p>
    <w:p w14:paraId="359A909F">
      <w:pPr>
        <w:pStyle w:val="77"/>
        <w:bidi w:val="0"/>
        <w:rPr>
          <w:rFonts w:hint="eastAsia"/>
        </w:rPr>
      </w:pPr>
      <w:r>
        <w:rPr>
          <w:rFonts w:hint="eastAsia"/>
        </w:rPr>
        <w:t>（一）响应文件递交截止时间为2025</w:t>
      </w:r>
      <w:r>
        <w:t>年</w:t>
      </w:r>
      <w:r>
        <w:rPr>
          <w:rFonts w:hint="eastAsia"/>
          <w:lang w:val="en-US" w:eastAsia="zh-CN"/>
        </w:rPr>
        <w:t>6</w:t>
      </w:r>
      <w:r>
        <w:t>月</w:t>
      </w:r>
      <w:r>
        <w:rPr>
          <w:rFonts w:hint="eastAsia"/>
          <w:lang w:val="en-US" w:eastAsia="zh-CN"/>
        </w:rPr>
        <w:t>23</w:t>
      </w:r>
      <w:r>
        <w:t>日</w:t>
      </w:r>
      <w:r>
        <w:rPr>
          <w:rFonts w:hint="eastAsia"/>
        </w:rPr>
        <w:t>18时00分（北京时间）；</w:t>
      </w:r>
    </w:p>
    <w:p w14:paraId="05AB047F">
      <w:pPr>
        <w:pStyle w:val="77"/>
        <w:bidi w:val="0"/>
      </w:pPr>
      <w:r>
        <w:rPr>
          <w:rFonts w:hint="eastAsia"/>
        </w:rPr>
        <w:t>（二）响应文件递交方式</w:t>
      </w:r>
    </w:p>
    <w:p w14:paraId="0CD842B9">
      <w:pPr>
        <w:pStyle w:val="77"/>
        <w:bidi w:val="0"/>
      </w:pPr>
      <w:bookmarkStart w:id="2" w:name="_Hlk174440279"/>
      <w:r>
        <w:rPr>
          <w:rFonts w:hint="eastAsia"/>
        </w:rPr>
        <w:t>本次文件递交方式采用线上递交，</w:t>
      </w:r>
      <w:r>
        <w:t>PDF</w:t>
      </w:r>
      <w:r>
        <w:rPr>
          <w:rFonts w:hint="eastAsia"/>
        </w:rPr>
        <w:t>盖章版响应</w:t>
      </w:r>
      <w:r>
        <w:t>文件必须在递交截止时间前</w:t>
      </w:r>
      <w:r>
        <w:rPr>
          <w:rFonts w:hint="eastAsia"/>
        </w:rPr>
        <w:t>发送至采购联系人邮箱</w:t>
      </w:r>
      <w:r>
        <w:t>。</w:t>
      </w:r>
      <w:r>
        <w:rPr>
          <w:rFonts w:hint="eastAsia"/>
        </w:rPr>
        <w:t>响应文件递交</w:t>
      </w:r>
      <w:r>
        <w:t>截止时间前未完成</w:t>
      </w:r>
      <w:r>
        <w:rPr>
          <w:rFonts w:hint="eastAsia"/>
        </w:rPr>
        <w:t>报价</w:t>
      </w:r>
      <w:r>
        <w:t>文件</w:t>
      </w:r>
      <w:r>
        <w:rPr>
          <w:rFonts w:hint="eastAsia"/>
        </w:rPr>
        <w:t>发送</w:t>
      </w:r>
      <w:r>
        <w:t>的，视为</w:t>
      </w:r>
      <w:r>
        <w:rPr>
          <w:rFonts w:hint="eastAsia"/>
        </w:rPr>
        <w:t>不参选</w:t>
      </w:r>
      <w:r>
        <w:t>。</w:t>
      </w:r>
    </w:p>
    <w:bookmarkEnd w:id="2"/>
    <w:p w14:paraId="5F846ABA">
      <w:pPr>
        <w:pStyle w:val="42"/>
        <w:spacing w:after="78" w:line="640" w:lineRule="exact"/>
        <w:ind w:firstLine="640"/>
        <w:rPr>
          <w:rFonts w:hint="eastAsia" w:eastAsia="黑体"/>
          <w:sz w:val="32"/>
          <w:szCs w:val="32"/>
        </w:rPr>
      </w:pPr>
      <w:r>
        <w:rPr>
          <w:rFonts w:hint="eastAsia" w:eastAsia="黑体"/>
          <w:sz w:val="32"/>
          <w:szCs w:val="32"/>
        </w:rPr>
        <w:t>六、评分规则</w:t>
      </w:r>
    </w:p>
    <w:p w14:paraId="75FF5242">
      <w:pPr>
        <w:pStyle w:val="77"/>
        <w:bidi w:val="0"/>
      </w:pPr>
      <w:r>
        <w:t>本次评审</w:t>
      </w:r>
      <w:r>
        <w:rPr>
          <w:rFonts w:hint="eastAsia"/>
        </w:rPr>
        <w:t>设一轮报价，</w:t>
      </w:r>
      <w:r>
        <w:t>采用最低投标价法</w:t>
      </w:r>
      <w:r>
        <w:rPr>
          <w:rFonts w:hint="eastAsia"/>
        </w:rPr>
        <w:t>。采购人对所有参选供应商进行资格审查，资格审查合格的供应商报价成立，根据最低价法确定中选人。</w:t>
      </w:r>
    </w:p>
    <w:p w14:paraId="5F03B55F">
      <w:pPr>
        <w:pStyle w:val="77"/>
        <w:bidi w:val="0"/>
      </w:pPr>
      <w:r>
        <w:rPr>
          <w:rFonts w:hint="eastAsia"/>
        </w:rPr>
        <w:t>本采购项目以不含税价进行对比，供应商需填报含税价、税率；不含税价计算方式：不含税价=含税价/（1+税率）。</w:t>
      </w:r>
    </w:p>
    <w:p w14:paraId="2C51E00B">
      <w:pPr>
        <w:pStyle w:val="77"/>
        <w:bidi w:val="0"/>
      </w:pPr>
      <w:r>
        <w:rPr>
          <w:rFonts w:hint="eastAsia"/>
        </w:rPr>
        <w:t>如出现并列最低报价，以报价文件递交时间在先者优先中选。若中选供应商放弃资格，则按报价由低到高顺序依次递补。</w:t>
      </w:r>
    </w:p>
    <w:p w14:paraId="5C0CDA5D">
      <w:pPr>
        <w:pStyle w:val="42"/>
        <w:spacing w:after="78" w:line="640" w:lineRule="exact"/>
        <w:ind w:firstLine="640"/>
        <w:rPr>
          <w:rFonts w:hint="eastAsia" w:eastAsia="黑体"/>
          <w:sz w:val="32"/>
          <w:szCs w:val="32"/>
        </w:rPr>
      </w:pPr>
      <w:r>
        <w:rPr>
          <w:rFonts w:hint="eastAsia" w:eastAsia="黑体"/>
          <w:sz w:val="32"/>
          <w:szCs w:val="32"/>
        </w:rPr>
        <w:t>七、限价要求</w:t>
      </w:r>
    </w:p>
    <w:p w14:paraId="74220FDA">
      <w:pPr>
        <w:pStyle w:val="77"/>
        <w:bidi w:val="0"/>
      </w:pPr>
      <w:r>
        <w:rPr>
          <w:rFonts w:hint="eastAsia"/>
        </w:rPr>
        <w:t>本次本次</w:t>
      </w:r>
      <w:r>
        <w:rPr>
          <w:rFonts w:hint="eastAsia"/>
          <w:lang w:val="en-US" w:eastAsia="zh-CN"/>
        </w:rPr>
        <w:t>采购项目各项检测因子限价见上表</w:t>
      </w:r>
      <w:r>
        <w:rPr>
          <w:rFonts w:hint="eastAsia"/>
        </w:rPr>
        <w:t>，采用</w:t>
      </w:r>
      <w:r>
        <w:rPr>
          <w:rFonts w:hint="eastAsia"/>
          <w:lang w:val="en-US" w:eastAsia="zh-CN"/>
        </w:rPr>
        <w:t>单价据实结算模式</w:t>
      </w:r>
      <w:r>
        <w:rPr>
          <w:rFonts w:hint="eastAsia"/>
        </w:rPr>
        <w:t>，</w:t>
      </w:r>
      <w:r>
        <w:t>超过限价的报价</w:t>
      </w:r>
      <w:r>
        <w:rPr>
          <w:rFonts w:hint="eastAsia"/>
        </w:rPr>
        <w:t>视为</w:t>
      </w:r>
      <w:r>
        <w:t>无效报价。</w:t>
      </w:r>
    </w:p>
    <w:p w14:paraId="59C717E1">
      <w:pPr>
        <w:pStyle w:val="42"/>
        <w:spacing w:after="78" w:line="640" w:lineRule="exact"/>
        <w:ind w:firstLine="640"/>
        <w:rPr>
          <w:rFonts w:hint="eastAsia" w:eastAsia="黑体"/>
          <w:sz w:val="32"/>
          <w:szCs w:val="32"/>
        </w:rPr>
      </w:pPr>
      <w:r>
        <w:rPr>
          <w:rFonts w:hint="eastAsia" w:eastAsia="黑体"/>
          <w:sz w:val="32"/>
          <w:szCs w:val="32"/>
        </w:rPr>
        <w:t>八、澄清及修改</w:t>
      </w:r>
    </w:p>
    <w:p w14:paraId="45EBEBFA">
      <w:pPr>
        <w:pStyle w:val="77"/>
        <w:bidi w:val="0"/>
      </w:pPr>
      <w:r>
        <w:rPr>
          <w:rFonts w:hint="eastAsia"/>
        </w:rPr>
        <w:t>1、采购人如需对已发出的询价文件进行澄清或修改的，将在</w:t>
      </w:r>
      <w:bookmarkStart w:id="3" w:name="_Hlk173242607"/>
      <w:r>
        <w:rPr>
          <w:rFonts w:hint="eastAsia"/>
        </w:rPr>
        <w:t>深圳市深水水务咨询有限公司官网（http://www.szsszx.com/）</w:t>
      </w:r>
      <w:bookmarkEnd w:id="3"/>
      <w:r>
        <w:rPr>
          <w:rFonts w:hint="eastAsia"/>
        </w:rPr>
        <w:t>发布更正公告，该澄清或修改内容为询价文件的组成部分。</w:t>
      </w:r>
    </w:p>
    <w:p w14:paraId="06C8BC7A">
      <w:pPr>
        <w:pStyle w:val="77"/>
        <w:bidi w:val="0"/>
      </w:pPr>
      <w:r>
        <w:rPr>
          <w:rFonts w:hint="eastAsia"/>
        </w:rPr>
        <w:t>2、询价申请人认为需要对询价文件进行澄清的，可以邮件形式向采购人提出申请（截止时间2025</w:t>
      </w:r>
      <w:r>
        <w:t>年</w:t>
      </w:r>
      <w:r>
        <w:rPr>
          <w:rFonts w:hint="eastAsia"/>
          <w:lang w:val="en-US" w:eastAsia="zh-CN"/>
        </w:rPr>
        <w:t>6</w:t>
      </w:r>
      <w:r>
        <w:t>月</w:t>
      </w:r>
      <w:r>
        <w:rPr>
          <w:rFonts w:hint="eastAsia"/>
          <w:lang w:val="en-US" w:eastAsia="zh-CN"/>
        </w:rPr>
        <w:t>23</w:t>
      </w:r>
      <w:r>
        <w:t>日</w:t>
      </w:r>
      <w:r>
        <w:rPr>
          <w:rFonts w:hint="eastAsia"/>
        </w:rPr>
        <w:t>18时），但采购人可决定是否采纳申请事项。</w:t>
      </w:r>
    </w:p>
    <w:p w14:paraId="5DF341F3">
      <w:pPr>
        <w:pStyle w:val="77"/>
        <w:bidi w:val="0"/>
      </w:pPr>
      <w:r>
        <w:rPr>
          <w:rFonts w:hint="eastAsia"/>
        </w:rPr>
        <w:t>3、询价申请人应于响应文件递交截止时间之前，自行在深圳市深水水务咨询有限公司官网（http://www.szsszx.com/）查询本项目的更正公告，因未查阅公告造成的后果由申请人自行承担。</w:t>
      </w:r>
    </w:p>
    <w:p w14:paraId="5835F8DE">
      <w:pPr>
        <w:pStyle w:val="42"/>
        <w:spacing w:after="78" w:line="640" w:lineRule="exact"/>
        <w:ind w:firstLine="640"/>
        <w:rPr>
          <w:rFonts w:hint="eastAsia" w:eastAsia="黑体"/>
          <w:sz w:val="32"/>
          <w:szCs w:val="32"/>
        </w:rPr>
      </w:pPr>
      <w:r>
        <w:rPr>
          <w:rFonts w:hint="eastAsia" w:eastAsia="黑体"/>
          <w:sz w:val="32"/>
          <w:szCs w:val="32"/>
        </w:rPr>
        <w:t>九、其他</w:t>
      </w:r>
    </w:p>
    <w:p w14:paraId="29994493">
      <w:pPr>
        <w:pStyle w:val="77"/>
        <w:bidi w:val="0"/>
      </w:pPr>
      <w:r>
        <w:rPr>
          <w:rFonts w:hint="eastAsia"/>
        </w:rPr>
        <w:t>1、中选人应在结果公告期满后尽快与采购人签订采购合同。因中选人原因造成逾期未与采购人签订采购合同的，视为自动放弃；</w:t>
      </w:r>
    </w:p>
    <w:p w14:paraId="77E892C4">
      <w:pPr>
        <w:pStyle w:val="77"/>
        <w:bidi w:val="0"/>
      </w:pPr>
      <w:r>
        <w:rPr>
          <w:rFonts w:hint="eastAsia"/>
        </w:rPr>
        <w:t>2、中选人因不可抗力原因不能履行采购合同或放弃成交的，采购人可依序与其他中选候选人签订采购合同，也可以重新组织采购。</w:t>
      </w:r>
    </w:p>
    <w:p w14:paraId="30536177">
      <w:pPr>
        <w:pStyle w:val="77"/>
        <w:bidi w:val="0"/>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9CEDA3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F971EF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38CBF07">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098957B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74F60D92">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E7385F0">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0E6113E">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20</w:t>
      </w:r>
      <w:r>
        <w:rPr>
          <w:rFonts w:hint="eastAsia" w:ascii="Times New Roman" w:hAnsi="Times New Roman" w:eastAsia="仿宋_GB2312"/>
          <w:color w:val="000000"/>
          <w:kern w:val="0"/>
          <w:sz w:val="32"/>
          <w:szCs w:val="32"/>
        </w:rPr>
        <w:t>日</w:t>
      </w:r>
    </w:p>
    <w:p w14:paraId="25305530">
      <w:pPr>
        <w:spacing w:after="78"/>
      </w:pPr>
    </w:p>
    <w:p w14:paraId="4A40C7DC">
      <w:pPr>
        <w:spacing w:after="78"/>
      </w:pPr>
      <w:r>
        <w:br w:type="page"/>
      </w:r>
    </w:p>
    <w:p w14:paraId="32403051">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38A74C1">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51AE0E71">
      <w:pPr>
        <w:spacing w:after="78"/>
        <w:jc w:val="center"/>
        <w:rPr>
          <w:rFonts w:ascii="Times New Roman Regular" w:hAnsi="Times New Roman Regular" w:eastAsia="黑体" w:cs="Times New Roman Regular"/>
          <w:color w:val="000000"/>
          <w:sz w:val="28"/>
          <w:szCs w:val="28"/>
          <w:u w:val="single"/>
        </w:rPr>
      </w:pPr>
    </w:p>
    <w:p w14:paraId="1D6CE855">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7619D234">
      <w:pPr>
        <w:spacing w:after="78"/>
        <w:jc w:val="center"/>
        <w:rPr>
          <w:rFonts w:ascii="Times New Roman Regular" w:hAnsi="Times New Roman Regular" w:eastAsia="黑体" w:cs="Times New Roman Regular"/>
          <w:color w:val="000000"/>
          <w:sz w:val="72"/>
          <w:szCs w:val="72"/>
          <w:shd w:val="clear" w:color="auto" w:fill="FFFFFF"/>
        </w:rPr>
      </w:pPr>
    </w:p>
    <w:p w14:paraId="57A2001D">
      <w:pPr>
        <w:spacing w:after="78"/>
        <w:jc w:val="center"/>
        <w:rPr>
          <w:rFonts w:ascii="Times New Roman Regular" w:hAnsi="Times New Roman Regular" w:eastAsia="黑体" w:cs="Times New Roman Regular"/>
          <w:color w:val="000000"/>
          <w:sz w:val="72"/>
          <w:szCs w:val="72"/>
          <w:shd w:val="clear" w:color="auto" w:fill="FFFFFF"/>
        </w:rPr>
      </w:pPr>
    </w:p>
    <w:p w14:paraId="7CEB2FAC">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在线比对服务</w:t>
      </w:r>
      <w:r>
        <w:rPr>
          <w:rFonts w:ascii="Times New Roman Regular" w:hAnsi="Times New Roman Regular" w:eastAsia="黑体" w:cs="Times New Roman Regular"/>
          <w:color w:val="000000"/>
          <w:sz w:val="56"/>
          <w:szCs w:val="56"/>
          <w:shd w:val="clear" w:color="auto" w:fill="FFFFFF"/>
          <w:lang w:eastAsia="zh-Hans"/>
        </w:rPr>
        <w:t>合同</w:t>
      </w:r>
    </w:p>
    <w:p w14:paraId="6590E333">
      <w:pPr>
        <w:spacing w:after="78"/>
        <w:jc w:val="center"/>
        <w:rPr>
          <w:rFonts w:ascii="Times New Roman Regular" w:hAnsi="Times New Roman Regular" w:eastAsia="黑体" w:cs="Times New Roman Regular"/>
          <w:color w:val="000000"/>
          <w:sz w:val="28"/>
          <w:szCs w:val="28"/>
          <w:u w:val="single"/>
        </w:rPr>
      </w:pPr>
    </w:p>
    <w:p w14:paraId="02691657">
      <w:pPr>
        <w:spacing w:after="78"/>
        <w:jc w:val="center"/>
        <w:rPr>
          <w:rFonts w:ascii="Times New Roman Regular" w:hAnsi="Times New Roman Regular" w:eastAsia="黑体" w:cs="Times New Roman Regular"/>
          <w:color w:val="000000"/>
          <w:sz w:val="28"/>
          <w:szCs w:val="28"/>
          <w:u w:val="single"/>
        </w:rPr>
      </w:pPr>
    </w:p>
    <w:p w14:paraId="148AAFEB">
      <w:pPr>
        <w:spacing w:after="78"/>
        <w:jc w:val="center"/>
        <w:rPr>
          <w:rFonts w:ascii="Times New Roman Regular" w:hAnsi="Times New Roman Regular" w:eastAsia="黑体" w:cs="Times New Roman Regular"/>
          <w:color w:val="000000"/>
          <w:sz w:val="28"/>
          <w:szCs w:val="28"/>
          <w:u w:val="single"/>
        </w:rPr>
      </w:pPr>
    </w:p>
    <w:p w14:paraId="278B9993">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7ED0204B">
        <w:tc>
          <w:tcPr>
            <w:tcW w:w="1804" w:type="dxa"/>
            <w:vAlign w:val="center"/>
          </w:tcPr>
          <w:p w14:paraId="318F66A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6562151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4075827D">
        <w:tblPrEx>
          <w:tblCellMar>
            <w:top w:w="0" w:type="dxa"/>
            <w:left w:w="108" w:type="dxa"/>
            <w:bottom w:w="0" w:type="dxa"/>
            <w:right w:w="108" w:type="dxa"/>
          </w:tblCellMar>
        </w:tblPrEx>
        <w:tc>
          <w:tcPr>
            <w:tcW w:w="1804" w:type="dxa"/>
            <w:vAlign w:val="center"/>
          </w:tcPr>
          <w:p w14:paraId="1173D0A4">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2317CC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630F97D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6841D42C">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771BBB77">
      <w:pPr>
        <w:spacing w:after="78"/>
        <w:jc w:val="center"/>
        <w:rPr>
          <w:rFonts w:ascii="Times New Roman Regular" w:hAnsi="Times New Roman Regular" w:eastAsia="黑体" w:cs="Times New Roman Regular"/>
          <w:color w:val="000000"/>
          <w:sz w:val="28"/>
          <w:szCs w:val="28"/>
          <w:u w:val="single"/>
        </w:rPr>
      </w:pPr>
    </w:p>
    <w:p w14:paraId="7DF3BE0F">
      <w:pPr>
        <w:spacing w:after="78"/>
        <w:jc w:val="center"/>
        <w:rPr>
          <w:rFonts w:ascii="Times New Roman Regular" w:hAnsi="Times New Roman Regular" w:eastAsia="黑体" w:cs="Times New Roman Regular"/>
          <w:color w:val="000000"/>
          <w:sz w:val="28"/>
          <w:szCs w:val="28"/>
          <w:u w:val="single"/>
        </w:rPr>
      </w:pPr>
    </w:p>
    <w:p w14:paraId="0ACF532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EB55223">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在线比对服务</w:t>
      </w:r>
      <w:r>
        <w:rPr>
          <w:rFonts w:ascii="黑体" w:hAnsi="黑体" w:eastAsia="黑体" w:cs="Times New Roman Regular"/>
          <w:spacing w:val="-6"/>
          <w:sz w:val="36"/>
          <w:szCs w:val="48"/>
          <w:lang w:eastAsia="zh-Hans"/>
        </w:rPr>
        <w:t>合同</w:t>
      </w:r>
    </w:p>
    <w:p w14:paraId="1D1CDC30">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甲方（</w:t>
      </w:r>
      <w:r>
        <w:rPr>
          <w:rFonts w:ascii="Times New Roman Regular" w:hAnsi="Times New Roman Regular" w:cs="Times New Roman Regular"/>
          <w:b/>
          <w:bCs/>
          <w:color w:val="000000"/>
          <w:sz w:val="24"/>
          <w:lang w:eastAsia="zh-Hans"/>
        </w:rPr>
        <w:t>发包人</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lang w:eastAsia="zh-Hans"/>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7737DE3F">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35561BA9">
      <w:pPr>
        <w:spacing w:after="78" w:line="360" w:lineRule="auto"/>
        <w:ind w:firstLine="482" w:firstLineChars="200"/>
        <w:rPr>
          <w:rFonts w:ascii="Times New Roman Regular" w:hAnsi="Times New Roman Regular" w:cs="Times New Roman Regular"/>
          <w:b/>
          <w:bCs/>
          <w:color w:val="000000"/>
          <w:sz w:val="24"/>
        </w:rPr>
      </w:pPr>
    </w:p>
    <w:p w14:paraId="436FF723">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3968E443">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0809C36C">
      <w:pPr>
        <w:spacing w:after="78" w:line="360" w:lineRule="auto"/>
        <w:ind w:firstLine="482" w:firstLineChars="200"/>
        <w:jc w:val="left"/>
        <w:rPr>
          <w:rFonts w:ascii="Times New Roman Regular" w:hAnsi="Times New Roman Regular" w:cs="Times New Roman Regular"/>
          <w:b/>
          <w:bCs/>
          <w:color w:val="000000"/>
          <w:sz w:val="24"/>
          <w:u w:val="single"/>
        </w:rPr>
      </w:pPr>
    </w:p>
    <w:p w14:paraId="799ABAFB">
      <w:pPr>
        <w:adjustRightInd w:val="0"/>
        <w:snapToGrid w:val="0"/>
        <w:spacing w:after="78"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甲乙双方就“在线比对等检测项目样品采集、分析和出具检测报告”的技术服务，经甲乙双方友好协商，依据《中华人民共和国民法典》的规定，签订合同如下</w:t>
      </w:r>
      <w:r>
        <w:rPr>
          <w:rFonts w:ascii="Times New Roman Regular" w:hAnsi="Times New Roman Regular" w:cs="Times New Roman Regular"/>
          <w:sz w:val="24"/>
        </w:rPr>
        <w:t>：</w:t>
      </w:r>
    </w:p>
    <w:p w14:paraId="40042A97">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第一条 </w:t>
      </w:r>
      <w:r>
        <w:rPr>
          <w:rFonts w:hint="default" w:ascii="Times New Roman Regular" w:hAnsi="Times New Roman Regular" w:eastAsia="黑体" w:cs="Times New Roman Regular"/>
          <w:color w:val="000000"/>
          <w:kern w:val="0"/>
          <w:sz w:val="32"/>
          <w:szCs w:val="32"/>
          <w:lang w:val="en-US" w:eastAsia="zh-Hans"/>
        </w:rPr>
        <w:t>工程</w:t>
      </w:r>
      <w:r>
        <w:rPr>
          <w:rFonts w:ascii="Times New Roman Regular" w:hAnsi="Times New Roman Regular" w:eastAsia="黑体" w:cs="Times New Roman Regular"/>
          <w:color w:val="000000"/>
          <w:kern w:val="0"/>
          <w:sz w:val="32"/>
          <w:szCs w:val="32"/>
          <w:lang w:eastAsia="zh-Hans"/>
        </w:rPr>
        <w:t>概况</w:t>
      </w:r>
    </w:p>
    <w:p w14:paraId="7AE2C2FC">
      <w:pPr>
        <w:widowControl/>
        <w:spacing w:after="78" w:line="360" w:lineRule="auto"/>
        <w:ind w:firstLine="480" w:firstLineChars="200"/>
        <w:rPr>
          <w:rFonts w:hint="eastAsia" w:ascii="宋体" w:hAnsi="宋体" w:cs="宋体"/>
          <w:sz w:val="24"/>
        </w:rPr>
      </w:pPr>
      <w:r>
        <w:rPr>
          <w:rFonts w:hint="eastAsia" w:ascii="宋体" w:hAnsi="宋体" w:cs="宋体"/>
          <w:sz w:val="24"/>
        </w:rPr>
        <w:t>1.1</w:t>
      </w:r>
      <w:r>
        <w:rPr>
          <w:rFonts w:hint="default" w:ascii="宋体" w:hAnsi="宋体" w:cs="宋体"/>
          <w:sz w:val="24"/>
          <w:lang w:val="en-US"/>
        </w:rPr>
        <w:t>工程</w:t>
      </w:r>
      <w:r>
        <w:rPr>
          <w:rFonts w:hint="eastAsia" w:ascii="宋体" w:hAnsi="宋体" w:cs="宋体"/>
          <w:sz w:val="24"/>
        </w:rPr>
        <w:t>名称：【在线比对服务】</w:t>
      </w:r>
    </w:p>
    <w:p w14:paraId="685F3F78">
      <w:pPr>
        <w:spacing w:after="78" w:line="360" w:lineRule="auto"/>
        <w:ind w:firstLine="480" w:firstLineChars="200"/>
        <w:rPr>
          <w:rFonts w:hint="eastAsia" w:ascii="宋体" w:hAnsi="宋体" w:cs="宋体"/>
          <w:sz w:val="24"/>
        </w:rPr>
      </w:pPr>
      <w:r>
        <w:rPr>
          <w:rFonts w:hint="eastAsia" w:ascii="宋体" w:hAnsi="宋体" w:cs="宋体"/>
          <w:sz w:val="24"/>
        </w:rPr>
        <w:t>1.2</w:t>
      </w:r>
      <w:r>
        <w:rPr>
          <w:rFonts w:hint="default" w:ascii="宋体" w:hAnsi="宋体" w:cs="宋体"/>
          <w:sz w:val="24"/>
          <w:lang w:val="en-US"/>
        </w:rPr>
        <w:t>工程</w:t>
      </w:r>
      <w:r>
        <w:rPr>
          <w:rFonts w:hint="eastAsia" w:ascii="宋体" w:hAnsi="宋体" w:cs="宋体"/>
          <w:sz w:val="24"/>
        </w:rPr>
        <w:t>地点：【深圳</w:t>
      </w:r>
      <w:r>
        <w:rPr>
          <w:rFonts w:hint="eastAsia" w:ascii="宋体" w:hAnsi="宋体" w:cs="宋体"/>
          <w:sz w:val="24"/>
          <w:lang w:val="en-US" w:eastAsia="zh-CN"/>
        </w:rPr>
        <w:t>市龙华区观澜街道桂花路380号观澜河口调蓄池</w:t>
      </w:r>
      <w:r>
        <w:rPr>
          <w:rFonts w:hint="eastAsia" w:ascii="宋体" w:hAnsi="宋体" w:cs="宋体"/>
          <w:sz w:val="24"/>
        </w:rPr>
        <w:t>】</w:t>
      </w:r>
    </w:p>
    <w:p w14:paraId="2912DD9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第二条 承包范围及内容</w:t>
      </w:r>
    </w:p>
    <w:p w14:paraId="53CC0BD9">
      <w:pPr>
        <w:widowControl/>
        <w:spacing w:after="78" w:line="360" w:lineRule="auto"/>
        <w:ind w:firstLine="480" w:firstLineChars="200"/>
        <w:rPr>
          <w:rFonts w:hint="eastAsia" w:ascii="宋体" w:hAnsi="宋体" w:cs="宋体"/>
          <w:sz w:val="24"/>
        </w:rPr>
      </w:pPr>
      <w:r>
        <w:rPr>
          <w:rFonts w:hint="eastAsia" w:ascii="宋体" w:hAnsi="宋体" w:cs="宋体"/>
          <w:sz w:val="24"/>
        </w:rPr>
        <w:t>2.1</w:t>
      </w:r>
      <w:r>
        <w:rPr>
          <w:rFonts w:hint="default" w:ascii="宋体" w:hAnsi="宋体" w:cs="宋体"/>
          <w:sz w:val="24"/>
          <w:lang w:val="en-US"/>
        </w:rPr>
        <w:t>工程</w:t>
      </w:r>
      <w:r>
        <w:rPr>
          <w:rFonts w:hint="eastAsia" w:ascii="宋体" w:hAnsi="宋体" w:cs="宋体"/>
          <w:sz w:val="24"/>
        </w:rPr>
        <w:t>内容：乙方按照甲方要求的检测项目和检测时间点的要求，安排采样人员进行样品采集</w:t>
      </w:r>
      <w:r>
        <w:rPr>
          <w:rFonts w:hint="eastAsia" w:ascii="宋体" w:hAnsi="宋体" w:cs="宋体"/>
          <w:sz w:val="24"/>
          <w:lang w:eastAsia="zh-CN"/>
        </w:rPr>
        <w:t>，</w:t>
      </w:r>
      <w:r>
        <w:rPr>
          <w:rFonts w:hint="eastAsia" w:ascii="宋体" w:hAnsi="宋体" w:cs="宋体"/>
          <w:sz w:val="24"/>
          <w:lang w:val="en-US" w:eastAsia="zh-CN"/>
        </w:rPr>
        <w:t>每季度一次</w:t>
      </w:r>
      <w:r>
        <w:rPr>
          <w:rFonts w:hint="eastAsia" w:ascii="宋体" w:hAnsi="宋体" w:cs="宋体"/>
          <w:sz w:val="24"/>
        </w:rPr>
        <w:t>。【</w:t>
      </w:r>
      <w:r>
        <w:rPr>
          <w:rFonts w:hint="eastAsia" w:ascii="宋体" w:hAnsi="宋体" w:cs="宋体"/>
          <w:sz w:val="24"/>
          <w:lang w:val="en-US" w:eastAsia="zh-CN"/>
        </w:rPr>
        <w:t>检测内容如</w:t>
      </w:r>
      <w:r>
        <w:rPr>
          <w:rFonts w:hint="eastAsia" w:ascii="宋体" w:hAnsi="宋体" w:cs="宋体"/>
          <w:sz w:val="24"/>
        </w:rPr>
        <w:t>下表】</w:t>
      </w:r>
    </w:p>
    <w:tbl>
      <w:tblPr>
        <w:tblStyle w:val="22"/>
        <w:tblW w:w="8207" w:type="dxa"/>
        <w:tblInd w:w="93" w:type="dxa"/>
        <w:tblLayout w:type="autofit"/>
        <w:tblCellMar>
          <w:top w:w="0" w:type="dxa"/>
          <w:left w:w="108" w:type="dxa"/>
          <w:bottom w:w="0" w:type="dxa"/>
          <w:right w:w="108" w:type="dxa"/>
        </w:tblCellMar>
      </w:tblPr>
      <w:tblGrid>
        <w:gridCol w:w="650"/>
        <w:gridCol w:w="1450"/>
        <w:gridCol w:w="1910"/>
        <w:gridCol w:w="2159"/>
        <w:gridCol w:w="2038"/>
      </w:tblGrid>
      <w:tr w14:paraId="4A8CD4C6">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5EF78CB">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序号</w:t>
            </w:r>
          </w:p>
        </w:tc>
        <w:tc>
          <w:tcPr>
            <w:tcW w:w="1450" w:type="dxa"/>
            <w:tcBorders>
              <w:top w:val="single" w:color="auto" w:sz="4" w:space="0"/>
              <w:left w:val="single" w:color="auto" w:sz="4" w:space="0"/>
              <w:bottom w:val="single" w:color="auto" w:sz="4" w:space="0"/>
              <w:right w:val="single" w:color="auto" w:sz="4" w:space="0"/>
            </w:tcBorders>
            <w:vAlign w:val="center"/>
          </w:tcPr>
          <w:p w14:paraId="5EF9F25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项目类别</w:t>
            </w:r>
          </w:p>
        </w:tc>
        <w:tc>
          <w:tcPr>
            <w:tcW w:w="1910" w:type="dxa"/>
            <w:tcBorders>
              <w:top w:val="single" w:color="auto" w:sz="4" w:space="0"/>
              <w:left w:val="single" w:color="auto" w:sz="4" w:space="0"/>
              <w:bottom w:val="single" w:color="auto" w:sz="4" w:space="0"/>
              <w:right w:val="single" w:color="auto" w:sz="4" w:space="0"/>
            </w:tcBorders>
            <w:vAlign w:val="center"/>
          </w:tcPr>
          <w:p w14:paraId="35D2D15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项目内容</w:t>
            </w:r>
          </w:p>
        </w:tc>
        <w:tc>
          <w:tcPr>
            <w:tcW w:w="2159" w:type="dxa"/>
            <w:tcBorders>
              <w:top w:val="single" w:color="auto" w:sz="4" w:space="0"/>
              <w:left w:val="single" w:color="auto" w:sz="4" w:space="0"/>
              <w:bottom w:val="single" w:color="auto" w:sz="4" w:space="0"/>
              <w:right w:val="single" w:color="auto" w:sz="4" w:space="0"/>
            </w:tcBorders>
            <w:vAlign w:val="center"/>
          </w:tcPr>
          <w:p w14:paraId="226087B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含税单价（元）</w:t>
            </w:r>
          </w:p>
        </w:tc>
        <w:tc>
          <w:tcPr>
            <w:tcW w:w="2038" w:type="dxa"/>
            <w:tcBorders>
              <w:top w:val="single" w:color="auto" w:sz="4" w:space="0"/>
              <w:left w:val="single" w:color="auto" w:sz="4" w:space="0"/>
              <w:bottom w:val="single" w:color="auto" w:sz="4" w:space="0"/>
              <w:right w:val="single" w:color="auto" w:sz="4" w:space="0"/>
            </w:tcBorders>
            <w:vAlign w:val="center"/>
          </w:tcPr>
          <w:p w14:paraId="121E509E">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备注</w:t>
            </w:r>
          </w:p>
        </w:tc>
      </w:tr>
      <w:tr w14:paraId="2FA75131">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20585D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1</w:t>
            </w:r>
          </w:p>
        </w:tc>
        <w:tc>
          <w:tcPr>
            <w:tcW w:w="1450" w:type="dxa"/>
            <w:tcBorders>
              <w:top w:val="single" w:color="auto" w:sz="4" w:space="0"/>
              <w:left w:val="single" w:color="auto" w:sz="4" w:space="0"/>
              <w:bottom w:val="single" w:color="auto" w:sz="4" w:space="0"/>
              <w:right w:val="single" w:color="auto" w:sz="4" w:space="0"/>
            </w:tcBorders>
            <w:vAlign w:val="center"/>
          </w:tcPr>
          <w:p w14:paraId="38EBE09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4C13109D">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PH值</w:t>
            </w:r>
          </w:p>
        </w:tc>
        <w:tc>
          <w:tcPr>
            <w:tcW w:w="2159" w:type="dxa"/>
            <w:tcBorders>
              <w:top w:val="single" w:color="auto" w:sz="4" w:space="0"/>
              <w:left w:val="single" w:color="auto" w:sz="4" w:space="0"/>
              <w:bottom w:val="single" w:color="auto" w:sz="4" w:space="0"/>
              <w:right w:val="single" w:color="auto" w:sz="4" w:space="0"/>
            </w:tcBorders>
            <w:vAlign w:val="center"/>
          </w:tcPr>
          <w:p w14:paraId="1ADD1984">
            <w:pPr>
              <w:spacing w:after="78" w:line="360" w:lineRule="auto"/>
              <w:jc w:val="center"/>
              <w:rPr>
                <w:rFonts w:hint="eastAsia" w:ascii="宋体" w:hAnsi="宋体" w:cs="宋体"/>
                <w:sz w:val="24"/>
                <w:lang w:val="en-US" w:eastAsia="zh-CN"/>
              </w:rPr>
            </w:pPr>
          </w:p>
        </w:tc>
        <w:tc>
          <w:tcPr>
            <w:tcW w:w="2038" w:type="dxa"/>
            <w:vMerge w:val="restart"/>
            <w:tcBorders>
              <w:top w:val="single" w:color="auto" w:sz="4" w:space="0"/>
              <w:left w:val="single" w:color="auto" w:sz="4" w:space="0"/>
              <w:right w:val="single" w:color="auto" w:sz="4" w:space="0"/>
            </w:tcBorders>
            <w:vAlign w:val="center"/>
          </w:tcPr>
          <w:p w14:paraId="01619842">
            <w:pPr>
              <w:spacing w:after="78" w:line="360" w:lineRule="auto"/>
              <w:ind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w:t>
            </w:r>
          </w:p>
        </w:tc>
      </w:tr>
      <w:tr w14:paraId="745A8AC4">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444A85D6">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2</w:t>
            </w:r>
          </w:p>
        </w:tc>
        <w:tc>
          <w:tcPr>
            <w:tcW w:w="1450" w:type="dxa"/>
            <w:tcBorders>
              <w:top w:val="single" w:color="auto" w:sz="4" w:space="0"/>
              <w:left w:val="single" w:color="auto" w:sz="4" w:space="0"/>
              <w:bottom w:val="single" w:color="auto" w:sz="4" w:space="0"/>
              <w:right w:val="single" w:color="auto" w:sz="4" w:space="0"/>
            </w:tcBorders>
            <w:vAlign w:val="center"/>
          </w:tcPr>
          <w:p w14:paraId="79FD451F">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0451A310">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SS</w:t>
            </w:r>
          </w:p>
        </w:tc>
        <w:tc>
          <w:tcPr>
            <w:tcW w:w="2159" w:type="dxa"/>
            <w:tcBorders>
              <w:top w:val="single" w:color="auto" w:sz="4" w:space="0"/>
              <w:left w:val="single" w:color="auto" w:sz="4" w:space="0"/>
              <w:bottom w:val="single" w:color="auto" w:sz="4" w:space="0"/>
              <w:right w:val="single" w:color="auto" w:sz="4" w:space="0"/>
            </w:tcBorders>
            <w:vAlign w:val="center"/>
          </w:tcPr>
          <w:p w14:paraId="723E899F">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2A92C3AF">
            <w:pPr>
              <w:spacing w:after="78" w:line="360" w:lineRule="auto"/>
              <w:ind w:firstLine="480" w:firstLineChars="200"/>
              <w:jc w:val="center"/>
              <w:rPr>
                <w:rFonts w:hint="eastAsia" w:ascii="宋体" w:hAnsi="宋体" w:cs="宋体"/>
                <w:sz w:val="24"/>
                <w:lang w:val="en-US" w:eastAsia="zh-CN"/>
              </w:rPr>
            </w:pPr>
          </w:p>
        </w:tc>
      </w:tr>
      <w:tr w14:paraId="23FDBCBE">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F7D2C50">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center"/>
          </w:tcPr>
          <w:p w14:paraId="4839BA2A">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62122D6A">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总磷</w:t>
            </w:r>
          </w:p>
        </w:tc>
        <w:tc>
          <w:tcPr>
            <w:tcW w:w="2159" w:type="dxa"/>
            <w:tcBorders>
              <w:top w:val="single" w:color="auto" w:sz="4" w:space="0"/>
              <w:left w:val="single" w:color="auto" w:sz="4" w:space="0"/>
              <w:bottom w:val="single" w:color="auto" w:sz="4" w:space="0"/>
              <w:right w:val="single" w:color="auto" w:sz="4" w:space="0"/>
            </w:tcBorders>
            <w:vAlign w:val="center"/>
          </w:tcPr>
          <w:p w14:paraId="53807E70">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71CFACAA">
            <w:pPr>
              <w:spacing w:after="78" w:line="360" w:lineRule="auto"/>
              <w:ind w:firstLine="480" w:firstLineChars="200"/>
              <w:jc w:val="center"/>
              <w:rPr>
                <w:rFonts w:hint="eastAsia" w:ascii="宋体" w:hAnsi="宋体" w:cs="宋体"/>
                <w:sz w:val="24"/>
                <w:lang w:val="en-US" w:eastAsia="zh-CN"/>
              </w:rPr>
            </w:pPr>
          </w:p>
        </w:tc>
      </w:tr>
      <w:tr w14:paraId="5DE4F583">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49F9E38">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center"/>
          </w:tcPr>
          <w:p w14:paraId="354495D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209BF3B1">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氨氮</w:t>
            </w:r>
          </w:p>
        </w:tc>
        <w:tc>
          <w:tcPr>
            <w:tcW w:w="2159" w:type="dxa"/>
            <w:tcBorders>
              <w:top w:val="single" w:color="auto" w:sz="4" w:space="0"/>
              <w:left w:val="single" w:color="auto" w:sz="4" w:space="0"/>
              <w:bottom w:val="single" w:color="auto" w:sz="4" w:space="0"/>
              <w:right w:val="single" w:color="auto" w:sz="4" w:space="0"/>
            </w:tcBorders>
            <w:vAlign w:val="center"/>
          </w:tcPr>
          <w:p w14:paraId="4E83A789">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53B0031A">
            <w:pPr>
              <w:spacing w:after="78" w:line="360" w:lineRule="auto"/>
              <w:ind w:firstLine="480" w:firstLineChars="200"/>
              <w:jc w:val="center"/>
              <w:rPr>
                <w:rFonts w:hint="eastAsia" w:ascii="宋体" w:hAnsi="宋体" w:cs="宋体"/>
                <w:sz w:val="24"/>
                <w:lang w:val="en-US" w:eastAsia="zh-CN"/>
              </w:rPr>
            </w:pPr>
          </w:p>
        </w:tc>
      </w:tr>
      <w:tr w14:paraId="471B4A5B">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1E80C20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center"/>
          </w:tcPr>
          <w:p w14:paraId="5B3C28F0">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63BE30E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总氮</w:t>
            </w:r>
          </w:p>
        </w:tc>
        <w:tc>
          <w:tcPr>
            <w:tcW w:w="2159" w:type="dxa"/>
            <w:tcBorders>
              <w:top w:val="single" w:color="auto" w:sz="4" w:space="0"/>
              <w:left w:val="single" w:color="auto" w:sz="4" w:space="0"/>
              <w:bottom w:val="single" w:color="auto" w:sz="4" w:space="0"/>
              <w:right w:val="single" w:color="auto" w:sz="4" w:space="0"/>
            </w:tcBorders>
            <w:vAlign w:val="center"/>
          </w:tcPr>
          <w:p w14:paraId="4898AE08">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1CCEF93D">
            <w:pPr>
              <w:spacing w:after="78" w:line="360" w:lineRule="auto"/>
              <w:ind w:firstLine="480" w:firstLineChars="200"/>
              <w:jc w:val="center"/>
              <w:rPr>
                <w:rFonts w:hint="eastAsia" w:ascii="宋体" w:hAnsi="宋体" w:cs="宋体"/>
                <w:sz w:val="24"/>
                <w:lang w:val="en-US" w:eastAsia="zh-CN"/>
              </w:rPr>
            </w:pPr>
          </w:p>
        </w:tc>
      </w:tr>
      <w:tr w14:paraId="6BA628EE">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345FDF3F">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center"/>
          </w:tcPr>
          <w:p w14:paraId="348A998A">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3BF178D1">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CODCR</w:t>
            </w:r>
          </w:p>
        </w:tc>
        <w:tc>
          <w:tcPr>
            <w:tcW w:w="2159" w:type="dxa"/>
            <w:tcBorders>
              <w:top w:val="single" w:color="auto" w:sz="4" w:space="0"/>
              <w:left w:val="single" w:color="auto" w:sz="4" w:space="0"/>
              <w:bottom w:val="single" w:color="auto" w:sz="4" w:space="0"/>
              <w:right w:val="single" w:color="auto" w:sz="4" w:space="0"/>
            </w:tcBorders>
            <w:vAlign w:val="center"/>
          </w:tcPr>
          <w:p w14:paraId="7B8B5C00">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bottom w:val="single" w:color="auto" w:sz="4" w:space="0"/>
              <w:right w:val="single" w:color="auto" w:sz="4" w:space="0"/>
            </w:tcBorders>
            <w:vAlign w:val="center"/>
          </w:tcPr>
          <w:p w14:paraId="026A4BE6">
            <w:pPr>
              <w:spacing w:after="78" w:line="360" w:lineRule="auto"/>
              <w:ind w:firstLine="480" w:firstLineChars="200"/>
              <w:jc w:val="center"/>
              <w:rPr>
                <w:rFonts w:hint="eastAsia" w:ascii="宋体" w:hAnsi="宋体" w:cs="宋体"/>
                <w:sz w:val="24"/>
                <w:lang w:val="en-US" w:eastAsia="zh-CN"/>
              </w:rPr>
            </w:pPr>
          </w:p>
        </w:tc>
      </w:tr>
    </w:tbl>
    <w:p w14:paraId="614F4084">
      <w:pPr>
        <w:widowControl/>
        <w:spacing w:after="78" w:line="360" w:lineRule="auto"/>
        <w:rPr>
          <w:rFonts w:hint="eastAsia" w:ascii="宋体" w:hAnsi="宋体" w:cs="宋体"/>
          <w:sz w:val="24"/>
        </w:rPr>
      </w:pPr>
    </w:p>
    <w:p w14:paraId="55D7529C">
      <w:pPr>
        <w:widowControl/>
        <w:spacing w:after="78" w:line="360" w:lineRule="auto"/>
        <w:ind w:firstLine="480" w:firstLineChars="200"/>
        <w:rPr>
          <w:rFonts w:hint="eastAsia" w:ascii="宋体" w:hAnsi="宋体" w:cs="宋体"/>
          <w:sz w:val="24"/>
        </w:rPr>
      </w:pPr>
      <w:r>
        <w:rPr>
          <w:rFonts w:hint="eastAsia" w:ascii="宋体" w:hAnsi="宋体" w:cs="宋体"/>
          <w:sz w:val="24"/>
        </w:rPr>
        <w:t>2.2本合同涉及到的所有材料费、人工费、设备费、运输费、管理费、利润、税金以及合同明示或暗示的所有可预见和不可预见的一般风险、责任和义务等所有的一切相关费用。</w:t>
      </w:r>
    </w:p>
    <w:p w14:paraId="4CA5015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第三条 </w:t>
      </w:r>
      <w:r>
        <w:rPr>
          <w:rFonts w:hint="eastAsia" w:ascii="Times New Roman Regular" w:hAnsi="Times New Roman Regular" w:eastAsia="黑体" w:cs="Times New Roman Regular"/>
          <w:color w:val="000000"/>
          <w:kern w:val="0"/>
          <w:sz w:val="32"/>
          <w:szCs w:val="32"/>
          <w:lang w:eastAsia="zh-CN"/>
        </w:rPr>
        <w:t>服务</w:t>
      </w:r>
      <w:r>
        <w:rPr>
          <w:rFonts w:ascii="Times New Roman Regular" w:hAnsi="Times New Roman Regular" w:eastAsia="黑体" w:cs="Times New Roman Regular"/>
          <w:color w:val="000000"/>
          <w:kern w:val="0"/>
          <w:sz w:val="32"/>
          <w:szCs w:val="32"/>
          <w:lang w:eastAsia="zh-Hans"/>
        </w:rPr>
        <w:t>期限</w:t>
      </w:r>
    </w:p>
    <w:p w14:paraId="7131C9E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3.1</w:t>
      </w:r>
      <w:r>
        <w:rPr>
          <w:rFonts w:hint="eastAsia" w:ascii="宋体" w:hAnsi="宋体" w:cs="宋体"/>
          <w:kern w:val="0"/>
          <w:sz w:val="24"/>
          <w:lang w:val="en-US" w:eastAsia="zh-CN"/>
        </w:rPr>
        <w:t>合同期限：合同有效期一年，自</w:t>
      </w:r>
      <w:r>
        <w:rPr>
          <w:rFonts w:hint="eastAsia" w:ascii="宋体" w:hAnsi="宋体" w:cs="宋体"/>
          <w:kern w:val="0"/>
          <w:sz w:val="24"/>
          <w:lang w:eastAsia="zh-Hans"/>
        </w:rPr>
        <w:t>【</w:t>
      </w:r>
      <w:r>
        <w:rPr>
          <w:rFonts w:hint="eastAsia" w:ascii="宋体" w:hAnsi="宋体" w:cs="宋体"/>
          <w:kern w:val="0"/>
          <w:sz w:val="24"/>
        </w:rPr>
        <w:t>2025</w:t>
      </w:r>
      <w:r>
        <w:rPr>
          <w:rFonts w:hint="eastAsia" w:ascii="宋体" w:hAnsi="宋体" w:cs="宋体"/>
          <w:kern w:val="0"/>
          <w:sz w:val="24"/>
          <w:lang w:eastAsia="zh-Hans"/>
        </w:rPr>
        <w:t>】年【  】月【  】日</w:t>
      </w:r>
      <w:r>
        <w:rPr>
          <w:rFonts w:hint="eastAsia" w:ascii="宋体" w:hAnsi="宋体" w:cs="宋体"/>
          <w:kern w:val="0"/>
          <w:sz w:val="24"/>
          <w:lang w:val="en-US" w:eastAsia="zh-CN"/>
        </w:rPr>
        <w:t>至</w:t>
      </w:r>
      <w:r>
        <w:rPr>
          <w:rFonts w:hint="eastAsia" w:ascii="宋体" w:hAnsi="宋体" w:cs="宋体"/>
          <w:kern w:val="0"/>
          <w:sz w:val="24"/>
          <w:lang w:eastAsia="zh-Hans"/>
        </w:rPr>
        <w:t>【</w:t>
      </w:r>
      <w:r>
        <w:rPr>
          <w:rFonts w:hint="eastAsia" w:ascii="宋体" w:hAnsi="宋体" w:cs="宋体"/>
          <w:kern w:val="0"/>
          <w:sz w:val="24"/>
        </w:rPr>
        <w:t>202</w:t>
      </w:r>
      <w:r>
        <w:rPr>
          <w:rFonts w:hint="eastAsia" w:ascii="宋体" w:hAnsi="宋体" w:cs="宋体"/>
          <w:kern w:val="0"/>
          <w:sz w:val="24"/>
          <w:lang w:val="en-US" w:eastAsia="zh-CN"/>
        </w:rPr>
        <w:t>6</w:t>
      </w:r>
      <w:r>
        <w:rPr>
          <w:rFonts w:hint="eastAsia" w:ascii="宋体" w:hAnsi="宋体" w:cs="宋体"/>
          <w:kern w:val="0"/>
          <w:sz w:val="24"/>
          <w:lang w:eastAsia="zh-Hans"/>
        </w:rPr>
        <w:t>】年【  】月【  】日。</w:t>
      </w:r>
      <w:r>
        <w:rPr>
          <w:rFonts w:hint="eastAsia" w:ascii="宋体" w:hAnsi="宋体" w:cs="宋体"/>
          <w:kern w:val="0"/>
          <w:sz w:val="24"/>
          <w:lang w:val="en-US" w:eastAsia="zh-CN"/>
        </w:rPr>
        <w:t>上述合同期届满，甲方有权以书面形式通知乙方延长合同期限，延长的具体期限以甲方通知为准，在延长的期限内，双方仍需按照本合同的约定继续履行</w:t>
      </w:r>
      <w:r>
        <w:rPr>
          <w:rFonts w:hint="eastAsia" w:ascii="宋体" w:hAnsi="宋体" w:cs="宋体"/>
          <w:kern w:val="0"/>
          <w:sz w:val="24"/>
          <w:lang w:eastAsia="zh-Hans"/>
        </w:rPr>
        <w:t>。</w:t>
      </w:r>
    </w:p>
    <w:p w14:paraId="27214B8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四</w:t>
      </w:r>
      <w:r>
        <w:rPr>
          <w:rFonts w:ascii="Times New Roman Regular" w:hAnsi="Times New Roman Regular" w:eastAsia="黑体" w:cs="Times New Roman Regular"/>
          <w:color w:val="000000"/>
          <w:kern w:val="0"/>
          <w:sz w:val="32"/>
          <w:szCs w:val="32"/>
          <w:lang w:eastAsia="zh-Hans"/>
        </w:rPr>
        <w:t>条 付款要求及方式</w:t>
      </w:r>
    </w:p>
    <w:p w14:paraId="68F04D2B">
      <w:pPr>
        <w:widowControl/>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5.1</w:t>
      </w:r>
      <w:r>
        <w:rPr>
          <w:rFonts w:hint="eastAsia" w:ascii="宋体" w:hAnsi="宋体" w:cs="宋体"/>
          <w:kern w:val="0"/>
          <w:sz w:val="24"/>
          <w:lang w:val="en-US" w:eastAsia="zh-Hans"/>
        </w:rPr>
        <w:t>结算方式:以甲、乙双方签字确认的结算书进行结算，结算金额(元)=检测报告的服务内容和频次*检测项目单价。该检测项目单价在合同期内为固定单价，不随市场环境等原因的变动而改变。</w:t>
      </w:r>
    </w:p>
    <w:p w14:paraId="21713846">
      <w:pPr>
        <w:widowControl/>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5.2</w:t>
      </w:r>
      <w:r>
        <w:rPr>
          <w:rFonts w:hint="eastAsia" w:ascii="宋体" w:hAnsi="宋体" w:cs="宋体"/>
          <w:kern w:val="0"/>
          <w:sz w:val="24"/>
          <w:lang w:val="en-US" w:eastAsia="zh-Hans"/>
        </w:rPr>
        <w:t>支付方式:按季度支付，乙方应当向甲方提交付款申请材料，甲方审核通过后支付相应的款项。乙方未提供付款申请材料的，付款时间相应顺延，甲方无需承担逾期付款的违约责任。</w:t>
      </w:r>
    </w:p>
    <w:p w14:paraId="5EEA7C62">
      <w:pPr>
        <w:widowControl/>
        <w:adjustRightInd w:val="0"/>
        <w:spacing w:after="78" w:line="360" w:lineRule="auto"/>
        <w:ind w:firstLine="480" w:firstLineChars="200"/>
        <w:rPr>
          <w:rFonts w:hint="eastAsia"/>
          <w:lang w:eastAsia="zh-Hans"/>
        </w:rPr>
      </w:pPr>
      <w:r>
        <w:rPr>
          <w:rFonts w:hint="eastAsia" w:ascii="宋体" w:hAnsi="宋体" w:cs="宋体"/>
          <w:kern w:val="0"/>
          <w:sz w:val="24"/>
          <w:lang w:eastAsia="zh-Hans"/>
        </w:rPr>
        <w:t>“付款申请材料”包括请款申请表（请款申请表的内容、格式，以甲方的要求为准）、税率为【</w:t>
      </w:r>
      <w:r>
        <w:rPr>
          <w:rFonts w:hint="eastAsia" w:ascii="宋体" w:hAnsi="宋体" w:cs="宋体"/>
          <w:color w:val="FF0000"/>
          <w:kern w:val="0"/>
          <w:sz w:val="24"/>
          <w:lang w:val="en-US" w:eastAsia="zh-CN"/>
        </w:rPr>
        <w:t xml:space="preserve">  </w:t>
      </w:r>
      <w:r>
        <w:rPr>
          <w:rFonts w:hint="eastAsia" w:ascii="宋体" w:hAnsi="宋体" w:cs="宋体"/>
          <w:kern w:val="0"/>
          <w:sz w:val="24"/>
          <w:lang w:eastAsia="zh-Hans"/>
        </w:rPr>
        <w:t>】%的增值税专用发票、达到付款条件的证明材料（如验收报告）。</w:t>
      </w:r>
    </w:p>
    <w:p w14:paraId="7EFE6B49">
      <w:pPr>
        <w:adjustRightInd w:val="0"/>
        <w:spacing w:before="240" w:afterLines="0" w:line="360" w:lineRule="auto"/>
        <w:ind w:firstLine="640" w:firstLineChars="200"/>
        <w:outlineLvl w:val="0"/>
        <w:rPr>
          <w:rFonts w:hint="default" w:ascii="Times New Roman Regular" w:hAnsi="Times New Roman Regular" w:eastAsia="黑体" w:cs="Times New Roman Regular"/>
          <w:color w:val="000000"/>
          <w:kern w:val="0"/>
          <w:sz w:val="32"/>
          <w:szCs w:val="32"/>
          <w:lang w:val="en-US"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五</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双方责任</w:t>
      </w:r>
    </w:p>
    <w:p w14:paraId="3756D5D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.1</w:t>
      </w:r>
      <w:r>
        <w:rPr>
          <w:rFonts w:hint="eastAsia" w:ascii="宋体" w:hAnsi="宋体" w:cs="宋体"/>
          <w:kern w:val="0"/>
          <w:sz w:val="24"/>
          <w:lang w:val="en-US" w:eastAsia="zh-CN"/>
        </w:rPr>
        <w:t>甲方责任</w:t>
      </w:r>
      <w:r>
        <w:rPr>
          <w:rFonts w:hint="default" w:ascii="宋体" w:hAnsi="宋体" w:cs="宋体"/>
          <w:kern w:val="0"/>
          <w:sz w:val="24"/>
          <w:lang w:val="en-US" w:eastAsia="zh-Hans"/>
        </w:rPr>
        <w:t>：</w:t>
      </w:r>
      <w:r>
        <w:rPr>
          <w:rFonts w:hint="eastAsia" w:ascii="宋体" w:hAnsi="宋体" w:cs="宋体"/>
          <w:kern w:val="0"/>
          <w:sz w:val="24"/>
          <w:lang w:eastAsia="zh-Hans"/>
        </w:rPr>
        <w:t xml:space="preserve">  </w:t>
      </w:r>
    </w:p>
    <w:p w14:paraId="626A36A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1.1</w:t>
      </w:r>
      <w:r>
        <w:rPr>
          <w:rFonts w:hint="eastAsia" w:ascii="宋体" w:hAnsi="宋体" w:cs="宋体"/>
          <w:kern w:val="0"/>
          <w:sz w:val="24"/>
          <w:lang w:eastAsia="zh-Hans"/>
        </w:rPr>
        <w:t>甲方保证所委托项目方案已经确认，不得在事中事后改变，如改变需另行收费。</w:t>
      </w:r>
    </w:p>
    <w:p w14:paraId="1FBF7CB6">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1.2</w:t>
      </w:r>
      <w:r>
        <w:rPr>
          <w:rFonts w:hint="eastAsia" w:ascii="宋体" w:hAnsi="宋体" w:cs="宋体"/>
          <w:kern w:val="0"/>
          <w:sz w:val="24"/>
          <w:lang w:eastAsia="zh-Hans"/>
        </w:rPr>
        <w:t>甲方并提供必要信息资料，必须安排专人负责协助乙方一同到现场采样，指导乙方确认采样点具体位署背景，对所提供样品采集点位及提供材料的真实性负责,须在乙方采样原始记录表签名确认。</w:t>
      </w:r>
    </w:p>
    <w:p w14:paraId="10201601">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1.3</w:t>
      </w:r>
      <w:r>
        <w:rPr>
          <w:rFonts w:hint="default" w:ascii="宋体" w:hAnsi="宋体" w:cs="宋体"/>
          <w:kern w:val="0"/>
          <w:sz w:val="24"/>
          <w:lang w:val="en-US" w:eastAsia="zh-Hans"/>
        </w:rPr>
        <w:t>甲方(或委派人)须在乙方采样时签署《采/送样单》，《采/送样单》及各附件是本合同的重要组成部分，具有同等法律效力</w:t>
      </w:r>
      <w:r>
        <w:rPr>
          <w:rFonts w:hint="eastAsia" w:ascii="宋体" w:hAnsi="宋体" w:cs="宋体"/>
          <w:kern w:val="0"/>
          <w:sz w:val="24"/>
          <w:lang w:eastAsia="zh-Hans"/>
        </w:rPr>
        <w:t>。</w:t>
      </w:r>
    </w:p>
    <w:p w14:paraId="142FA288">
      <w:pPr>
        <w:pStyle w:val="6"/>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1.4</w:t>
      </w:r>
      <w:r>
        <w:rPr>
          <w:rFonts w:hint="eastAsia"/>
          <w:lang w:eastAsia="zh-Hans"/>
        </w:rPr>
        <w:t>甲方须按合同约定时间及时向乙方支付检测费用</w:t>
      </w:r>
      <w:r>
        <w:rPr>
          <w:rFonts w:hint="eastAsia" w:ascii="宋体" w:hAnsi="宋体" w:cs="宋体"/>
          <w:kern w:val="0"/>
          <w:sz w:val="24"/>
          <w:lang w:eastAsia="zh-Hans"/>
        </w:rPr>
        <w:t>。</w:t>
      </w:r>
    </w:p>
    <w:p w14:paraId="21DE7209">
      <w:pPr>
        <w:widowControl/>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2甲方责任</w:t>
      </w:r>
      <w:r>
        <w:rPr>
          <w:rFonts w:hint="default" w:ascii="宋体" w:hAnsi="宋体" w:cs="宋体"/>
          <w:kern w:val="0"/>
          <w:sz w:val="24"/>
          <w:lang w:val="en-US" w:eastAsia="zh-Hans"/>
        </w:rPr>
        <w:t>：</w:t>
      </w:r>
      <w:r>
        <w:rPr>
          <w:rFonts w:hint="eastAsia" w:ascii="宋体" w:hAnsi="宋体" w:cs="宋体"/>
          <w:kern w:val="0"/>
          <w:sz w:val="24"/>
          <w:lang w:val="en-US" w:eastAsia="zh-Hans"/>
        </w:rPr>
        <w:t xml:space="preserve"> </w:t>
      </w:r>
    </w:p>
    <w:p w14:paraId="3C0650F7">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2.1</w:t>
      </w:r>
      <w:r>
        <w:rPr>
          <w:rFonts w:hint="eastAsia" w:ascii="宋体" w:hAnsi="宋体" w:cs="宋体"/>
          <w:kern w:val="0"/>
          <w:sz w:val="24"/>
          <w:lang w:val="en-US" w:eastAsia="zh-Hans"/>
        </w:rPr>
        <w:t>乙方须按甲方要求的检测项目和检测时间进行样品采集。</w:t>
      </w:r>
    </w:p>
    <w:p w14:paraId="21187782">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2.2</w:t>
      </w:r>
      <w:r>
        <w:rPr>
          <w:rFonts w:hint="eastAsia" w:ascii="宋体" w:hAnsi="宋体" w:cs="宋体"/>
          <w:kern w:val="0"/>
          <w:sz w:val="24"/>
          <w:lang w:val="en-US" w:eastAsia="zh-Hans"/>
        </w:rPr>
        <w:t>乙方须按照国家相关环境检测的标准方法进行样品采集和检测分析</w:t>
      </w:r>
      <w:r>
        <w:rPr>
          <w:rFonts w:hint="eastAsia" w:ascii="宋体" w:hAnsi="宋体" w:cs="宋体"/>
          <w:kern w:val="0"/>
          <w:sz w:val="24"/>
          <w:lang w:eastAsia="zh-Hans"/>
        </w:rPr>
        <w:t>。</w:t>
      </w:r>
    </w:p>
    <w:p w14:paraId="4F7161B9">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2.3</w:t>
      </w:r>
      <w:r>
        <w:rPr>
          <w:rFonts w:hint="eastAsia" w:ascii="宋体" w:hAnsi="宋体" w:cs="宋体"/>
          <w:kern w:val="0"/>
          <w:sz w:val="24"/>
          <w:lang w:val="en-US" w:eastAsia="zh-Hans"/>
        </w:rPr>
        <w:t>乙方根据中国计量法规要求出具检测报告，保证报告的可靠性,准确性，科学性，独立性</w:t>
      </w:r>
      <w:r>
        <w:rPr>
          <w:rFonts w:hint="eastAsia" w:ascii="宋体" w:hAnsi="宋体" w:cs="宋体"/>
          <w:kern w:val="0"/>
          <w:sz w:val="24"/>
          <w:lang w:eastAsia="zh-Hans"/>
        </w:rPr>
        <w:t>。</w:t>
      </w:r>
    </w:p>
    <w:p w14:paraId="112D218C">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2.4</w:t>
      </w:r>
      <w:r>
        <w:rPr>
          <w:rFonts w:hint="eastAsia" w:ascii="宋体" w:hAnsi="宋体" w:cs="宋体"/>
          <w:kern w:val="0"/>
          <w:sz w:val="24"/>
          <w:lang w:val="en-US" w:eastAsia="zh-Hans"/>
        </w:rPr>
        <w:t>乙方在采样后10个工作日内向甲方提交正式检测报告</w:t>
      </w:r>
      <w:r>
        <w:rPr>
          <w:rFonts w:hint="eastAsia" w:ascii="宋体" w:hAnsi="宋体" w:cs="宋体"/>
          <w:kern w:val="0"/>
          <w:sz w:val="24"/>
          <w:lang w:eastAsia="zh-Hans"/>
        </w:rPr>
        <w:t>。</w:t>
      </w:r>
    </w:p>
    <w:p w14:paraId="4C69BFCF">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2.5</w:t>
      </w:r>
      <w:r>
        <w:rPr>
          <w:rFonts w:hint="eastAsia" w:ascii="宋体" w:hAnsi="宋体" w:cs="宋体"/>
          <w:kern w:val="0"/>
          <w:sz w:val="24"/>
          <w:lang w:val="en-US" w:eastAsia="zh-Hans"/>
        </w:rPr>
        <w:t>乙方不得在未经甲方许可的情况下将合同转包第三方</w:t>
      </w:r>
      <w:r>
        <w:rPr>
          <w:rFonts w:hint="eastAsia" w:ascii="宋体" w:hAnsi="宋体" w:cs="宋体"/>
          <w:kern w:val="0"/>
          <w:sz w:val="24"/>
          <w:lang w:eastAsia="zh-Hans"/>
        </w:rPr>
        <w:t>。</w:t>
      </w:r>
    </w:p>
    <w:p w14:paraId="7EF2763C">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2.6</w:t>
      </w:r>
      <w:r>
        <w:rPr>
          <w:rFonts w:hint="eastAsia" w:ascii="宋体" w:hAnsi="宋体" w:cs="宋体"/>
          <w:kern w:val="0"/>
          <w:sz w:val="24"/>
          <w:lang w:val="en-US" w:eastAsia="zh-Hans"/>
        </w:rPr>
        <w:t>乙方向甲方提交正式检测报告时，按照甲方要求，一并提交加盖公司公章的纸质版分析报告</w:t>
      </w:r>
      <w:r>
        <w:rPr>
          <w:rFonts w:hint="eastAsia" w:ascii="宋体" w:hAnsi="宋体" w:cs="宋体"/>
          <w:kern w:val="0"/>
          <w:sz w:val="24"/>
          <w:lang w:eastAsia="zh-Hans"/>
        </w:rPr>
        <w:t>。</w:t>
      </w:r>
    </w:p>
    <w:p w14:paraId="38BEB2EC">
      <w:p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六</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违约责任</w:t>
      </w:r>
    </w:p>
    <w:p w14:paraId="358F8C57">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6.1乙方未按双方约定的时间提供服务的，每逾期一日，按本次约定服务内容总金额的千分之一支付违约金，最高不超过本次约定服务内容总金额的百分之二十;逾期超过十五日的，甲方除可要求己方承担前述违约金外,甲方还有权解除合同,乙方应按实际工作完成情况返还甲方已支付的款项。</w:t>
      </w:r>
    </w:p>
    <w:p w14:paraId="36E02F70">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6.2乙方未经甲方许可的情况下将合同转包第三方的，甲方有权直接解除合同。乙方无条件向甲方支付 5000 元的违约金。</w:t>
      </w:r>
    </w:p>
    <w:p w14:paraId="2BBED942">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6.3甲方需要乙方提供加盖公司公章的纸质版分析报告，乙方未提供的，甲方有权按本次约定服务内容总金额的百分之十支付违约金，在乙方本次服务费中予以扣除。</w:t>
      </w:r>
    </w:p>
    <w:p w14:paraId="15FEDAFF">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6.4因乙方检测结果不准确对甲方造成影响，甲方除可以不予支付本次检测的费用外，还有权要求乙方赔偿相应的损失。</w:t>
      </w:r>
    </w:p>
    <w:p w14:paraId="78E03D99">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6.5若乙方未按要求履行合同内容/义务等，甲方有权终止合同</w:t>
      </w:r>
      <w:r>
        <w:rPr>
          <w:rFonts w:hint="eastAsia" w:ascii="宋体" w:hAnsi="宋体" w:cs="宋体"/>
          <w:kern w:val="0"/>
          <w:sz w:val="24"/>
          <w:lang w:val="en-US" w:eastAsia="zh-Hans"/>
        </w:rPr>
        <w:t>。</w:t>
      </w:r>
    </w:p>
    <w:p w14:paraId="4DA80DB8">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七</w:t>
      </w:r>
      <w:r>
        <w:rPr>
          <w:rFonts w:ascii="Times New Roman Regular" w:hAnsi="Times New Roman Regular" w:eastAsia="黑体" w:cs="Times New Roman Regular"/>
          <w:color w:val="000000"/>
          <w:kern w:val="0"/>
          <w:sz w:val="32"/>
          <w:szCs w:val="32"/>
          <w:lang w:eastAsia="zh-Hans"/>
        </w:rPr>
        <w:t>条 合同文件构成及解释顺序</w:t>
      </w:r>
    </w:p>
    <w:p w14:paraId="43231E7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7.1本合同与下列文件一起构成合同文件：</w:t>
      </w:r>
    </w:p>
    <w:p w14:paraId="355588A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（1）本合同签订后双方签订的补充协议、约定的有关协商、变更等书面协议或文件；</w:t>
      </w:r>
    </w:p>
    <w:p w14:paraId="2D68A0C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（2）本合同条款及附件；</w:t>
      </w:r>
    </w:p>
    <w:p w14:paraId="21EC9C8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（3）中标</w:t>
      </w:r>
      <w:r>
        <w:rPr>
          <w:rFonts w:hint="eastAsia" w:ascii="宋体" w:hAnsi="宋体" w:cs="宋体"/>
          <w:kern w:val="0"/>
          <w:sz w:val="24"/>
        </w:rPr>
        <w:t>/中选/成交</w:t>
      </w:r>
      <w:r>
        <w:rPr>
          <w:rFonts w:hint="eastAsia" w:ascii="宋体" w:hAnsi="宋体" w:cs="宋体"/>
          <w:kern w:val="0"/>
          <w:sz w:val="24"/>
          <w:lang w:eastAsia="zh-Hans"/>
        </w:rPr>
        <w:t>通知书</w:t>
      </w:r>
      <w:r>
        <w:rPr>
          <w:rFonts w:hint="eastAsia" w:ascii="宋体" w:hAnsi="宋体" w:cs="宋体"/>
          <w:kern w:val="0"/>
          <w:sz w:val="24"/>
        </w:rPr>
        <w:t>或类似文件</w:t>
      </w:r>
      <w:r>
        <w:rPr>
          <w:rFonts w:hint="eastAsia" w:ascii="宋体" w:hAnsi="宋体" w:cs="宋体"/>
          <w:kern w:val="0"/>
          <w:sz w:val="24"/>
          <w:lang w:eastAsia="zh-Hans"/>
        </w:rPr>
        <w:t>、询标回复及有关附件</w:t>
      </w:r>
      <w:r>
        <w:rPr>
          <w:rFonts w:hint="eastAsia" w:ascii="宋体" w:hAnsi="宋体" w:cs="宋体"/>
          <w:kern w:val="0"/>
          <w:sz w:val="24"/>
        </w:rPr>
        <w:t>或类似文件</w:t>
      </w:r>
      <w:r>
        <w:rPr>
          <w:rFonts w:hint="eastAsia" w:ascii="宋体" w:hAnsi="宋体" w:cs="宋体"/>
          <w:kern w:val="0"/>
          <w:sz w:val="24"/>
          <w:lang w:eastAsia="zh-Hans"/>
        </w:rPr>
        <w:t>；</w:t>
      </w:r>
    </w:p>
    <w:p w14:paraId="0D3EB82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w:t>
      </w:r>
      <w:r>
        <w:rPr>
          <w:rFonts w:hint="eastAsia" w:ascii="宋体" w:hAnsi="宋体" w:cs="宋体"/>
          <w:kern w:val="0"/>
          <w:sz w:val="24"/>
        </w:rPr>
        <w:t>采购</w:t>
      </w:r>
      <w:r>
        <w:rPr>
          <w:rFonts w:hint="eastAsia" w:ascii="宋体" w:hAnsi="宋体" w:cs="宋体"/>
          <w:kern w:val="0"/>
          <w:sz w:val="24"/>
          <w:lang w:eastAsia="zh-Hans"/>
        </w:rPr>
        <w:t>文件（含</w:t>
      </w:r>
      <w:r>
        <w:rPr>
          <w:rFonts w:hint="eastAsia" w:ascii="宋体" w:hAnsi="宋体" w:cs="宋体"/>
          <w:kern w:val="0"/>
          <w:sz w:val="24"/>
        </w:rPr>
        <w:t>采购</w:t>
      </w:r>
      <w:r>
        <w:rPr>
          <w:rFonts w:hint="eastAsia" w:ascii="宋体" w:hAnsi="宋体" w:cs="宋体"/>
          <w:kern w:val="0"/>
          <w:sz w:val="24"/>
          <w:lang w:eastAsia="zh-Hans"/>
        </w:rPr>
        <w:t>文件补充文件）；</w:t>
      </w:r>
    </w:p>
    <w:p w14:paraId="3A2B450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w:t>
      </w:r>
      <w:r>
        <w:rPr>
          <w:rFonts w:hint="eastAsia" w:ascii="宋体" w:hAnsi="宋体" w:cs="宋体"/>
          <w:kern w:val="0"/>
          <w:sz w:val="24"/>
        </w:rPr>
        <w:t>投标文件/响应文件或类似文件</w:t>
      </w:r>
      <w:r>
        <w:rPr>
          <w:rFonts w:hint="eastAsia" w:ascii="宋体" w:hAnsi="宋体" w:cs="宋体"/>
          <w:kern w:val="0"/>
          <w:sz w:val="24"/>
          <w:lang w:eastAsia="zh-Hans"/>
        </w:rPr>
        <w:t>及其附件；</w:t>
      </w:r>
    </w:p>
    <w:p w14:paraId="2902D78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（6）施工图纸和设计变更；</w:t>
      </w:r>
    </w:p>
    <w:p w14:paraId="76F1F2E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（7）现行的法律、法规、条例、标准、规范、规定和其它有关技术文件；</w:t>
      </w:r>
    </w:p>
    <w:p w14:paraId="3AFFF59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w:t>
      </w:r>
      <w:r>
        <w:rPr>
          <w:rFonts w:hint="eastAsia" w:ascii="宋体" w:hAnsi="宋体" w:cs="宋体"/>
          <w:kern w:val="0"/>
          <w:sz w:val="24"/>
          <w:lang w:val="en-US" w:eastAsia="zh-CN"/>
        </w:rPr>
        <w:t>8</w:t>
      </w:r>
      <w:r>
        <w:rPr>
          <w:rFonts w:hint="eastAsia" w:ascii="宋体" w:hAnsi="宋体" w:cs="宋体"/>
          <w:kern w:val="0"/>
          <w:sz w:val="24"/>
          <w:lang w:eastAsia="zh-Hans"/>
        </w:rPr>
        <w:t>）组成合同的其他文件</w:t>
      </w:r>
      <w:r>
        <w:rPr>
          <w:rFonts w:hint="eastAsia" w:ascii="宋体" w:hAnsi="宋体" w:cs="宋体"/>
          <w:kern w:val="0"/>
          <w:sz w:val="24"/>
        </w:rPr>
        <w:t>：</w:t>
      </w:r>
      <w:r>
        <w:rPr>
          <w:rFonts w:hint="eastAsia" w:ascii="宋体" w:hAnsi="宋体" w:cs="宋体"/>
          <w:kern w:val="0"/>
          <w:sz w:val="24"/>
          <w:u w:val="single"/>
          <w:lang w:eastAsia="zh-Hans"/>
        </w:rPr>
        <w:t xml:space="preserve">        </w:t>
      </w:r>
      <w:r>
        <w:rPr>
          <w:rFonts w:hint="eastAsia" w:ascii="宋体" w:hAnsi="宋体" w:cs="宋体"/>
          <w:kern w:val="0"/>
          <w:sz w:val="24"/>
          <w:u w:val="single"/>
        </w:rPr>
        <w:t>/</w:t>
      </w: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087C5BF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7.2以上文件应互为补充和解释，如有不清或互相矛盾之处，以所列顺序在前的为准，属于同一类内容的文件，应以最新签署的为准。</w:t>
      </w:r>
    </w:p>
    <w:p w14:paraId="25E11DF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7.3在合同订立及履行过程中形成的与合同有关的文件均构成合同文件组成部分，并根据其性质确定优先解释顺序。</w:t>
      </w:r>
    </w:p>
    <w:p w14:paraId="7F5E291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八</w:t>
      </w:r>
      <w:r>
        <w:rPr>
          <w:rFonts w:ascii="Times New Roman Regular" w:hAnsi="Times New Roman Regular" w:eastAsia="黑体" w:cs="Times New Roman Regular"/>
          <w:color w:val="000000"/>
          <w:kern w:val="0"/>
          <w:sz w:val="32"/>
          <w:szCs w:val="32"/>
          <w:lang w:eastAsia="zh-Hans"/>
        </w:rPr>
        <w:t>条 争议解决</w:t>
      </w:r>
    </w:p>
    <w:p w14:paraId="5A5BC9B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E57959B">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.2本合同在履行期间，双方发生争议时，在不影响工程进度的前提下，双方可采取协商解决。</w:t>
      </w:r>
      <w:bookmarkStart w:id="4" w:name="bookmark115"/>
      <w:bookmarkEnd w:id="4"/>
    </w:p>
    <w:p w14:paraId="5113206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.3双方不愿意通过协商、调解解决或者协商调解不成时，任何一方均可向工程所在地有管辖权的人民法院提起诉讼。</w:t>
      </w:r>
    </w:p>
    <w:p w14:paraId="65CE884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九</w:t>
      </w:r>
      <w:r>
        <w:rPr>
          <w:rFonts w:ascii="Times New Roman Regular" w:hAnsi="Times New Roman Regular" w:eastAsia="黑体" w:cs="Times New Roman Regular"/>
          <w:color w:val="000000"/>
          <w:kern w:val="0"/>
          <w:sz w:val="32"/>
          <w:szCs w:val="32"/>
          <w:lang w:eastAsia="zh-Hans"/>
        </w:rPr>
        <w:t>条 附则</w:t>
      </w:r>
    </w:p>
    <w:p w14:paraId="3F4FC1F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.1本合同未尽事宜，由双方协商并签订书面补充协议为准。</w:t>
      </w:r>
    </w:p>
    <w:p w14:paraId="71D22D2C">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.2本合同自双方法定代表人或授权代表签字并加盖公章或合同章后生效；自双方履行完合同约定的义务后，本合同终止。</w:t>
      </w:r>
    </w:p>
    <w:p w14:paraId="271BF38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.3本合同正本一式【肆】</w:t>
      </w:r>
      <w:r>
        <w:rPr>
          <w:rFonts w:hint="eastAsia" w:ascii="宋体" w:hAnsi="宋体" w:cs="宋体"/>
          <w:sz w:val="24"/>
          <w:lang w:val="zh-CN"/>
        </w:rPr>
        <w:t>份，</w:t>
      </w:r>
      <w:r>
        <w:rPr>
          <w:rFonts w:hint="eastAsia" w:ascii="宋体" w:hAnsi="宋体" w:cs="宋体"/>
          <w:sz w:val="24"/>
        </w:rPr>
        <w:t>甲方执【贰】份，乙方执【贰】份，均具有同等法律效力。</w:t>
      </w:r>
      <w:bookmarkStart w:id="5" w:name="_Toc17163"/>
    </w:p>
    <w:p w14:paraId="7659AC3F">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第十五条 合同附件</w:t>
      </w:r>
      <w:bookmarkEnd w:id="5"/>
    </w:p>
    <w:p w14:paraId="6931EDE9">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附件1：供应商廉洁协议书</w:t>
      </w:r>
    </w:p>
    <w:p w14:paraId="4D88A7C1">
      <w:pPr>
        <w:pStyle w:val="73"/>
        <w:adjustRightInd w:val="0"/>
        <w:snapToGrid w:val="0"/>
        <w:spacing w:line="360" w:lineRule="auto"/>
        <w:ind w:firstLine="480"/>
        <w:jc w:val="center"/>
        <w:rPr>
          <w:rFonts w:hint="eastAsia"/>
          <w:sz w:val="24"/>
          <w:szCs w:val="24"/>
          <w:lang w:val="en-US" w:eastAsia="zh-CN" w:bidi="ar-SA"/>
        </w:rPr>
      </w:pPr>
      <w:r>
        <w:rPr>
          <w:rFonts w:hint="eastAsia"/>
          <w:sz w:val="24"/>
          <w:szCs w:val="24"/>
          <w:lang w:val="en-US" w:eastAsia="zh-CN" w:bidi="ar-SA"/>
        </w:rPr>
        <w:t>（以下为《在线比对服务合同》签署页，无正文）</w:t>
      </w:r>
    </w:p>
    <w:p w14:paraId="0E988184">
      <w:pPr>
        <w:pStyle w:val="73"/>
        <w:adjustRightInd w:val="0"/>
        <w:snapToGrid w:val="0"/>
        <w:spacing w:line="360" w:lineRule="auto"/>
        <w:ind w:firstLine="480"/>
        <w:jc w:val="center"/>
        <w:rPr>
          <w:rFonts w:hint="eastAsia"/>
          <w:sz w:val="24"/>
          <w:szCs w:val="24"/>
          <w:lang w:val="en-US" w:eastAsia="zh-CN" w:bidi="ar-SA"/>
        </w:rPr>
      </w:pPr>
    </w:p>
    <w:p w14:paraId="0BAD55BC">
      <w:pPr>
        <w:adjustRightInd w:val="0"/>
        <w:snapToGrid w:val="0"/>
        <w:spacing w:after="78" w:line="360" w:lineRule="auto"/>
        <w:ind w:firstLine="480" w:firstLineChars="200"/>
        <w:rPr>
          <w:bCs/>
          <w:sz w:val="24"/>
        </w:rPr>
      </w:pPr>
    </w:p>
    <w:tbl>
      <w:tblPr>
        <w:tblStyle w:val="22"/>
        <w:tblW w:w="0" w:type="auto"/>
        <w:jc w:val="center"/>
        <w:tblLayout w:type="autofit"/>
        <w:tblCellMar>
          <w:top w:w="0" w:type="dxa"/>
          <w:left w:w="108" w:type="dxa"/>
          <w:bottom w:w="0" w:type="dxa"/>
          <w:right w:w="108" w:type="dxa"/>
        </w:tblCellMar>
      </w:tblPr>
      <w:tblGrid>
        <w:gridCol w:w="4261"/>
        <w:gridCol w:w="4261"/>
      </w:tblGrid>
      <w:tr w14:paraId="0D8F7939">
        <w:tblPrEx>
          <w:tblCellMar>
            <w:top w:w="0" w:type="dxa"/>
            <w:left w:w="108" w:type="dxa"/>
            <w:bottom w:w="0" w:type="dxa"/>
            <w:right w:w="108" w:type="dxa"/>
          </w:tblCellMar>
        </w:tblPrEx>
        <w:trPr>
          <w:trHeight w:val="1629" w:hRule="atLeast"/>
          <w:jc w:val="center"/>
        </w:trPr>
        <w:tc>
          <w:tcPr>
            <w:tcW w:w="4389" w:type="dxa"/>
          </w:tcPr>
          <w:p w14:paraId="13BECA4B">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19634D2E">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11949E74">
            <w:pPr>
              <w:spacing w:before="156" w:beforeLines="50" w:after="78" w:line="360" w:lineRule="auto"/>
              <w:rPr>
                <w:rFonts w:hint="eastAsia" w:ascii="宋体" w:hAnsi="宋体" w:cs="宋体"/>
                <w:color w:val="000000"/>
                <w:sz w:val="28"/>
                <w:szCs w:val="28"/>
                <w:lang w:eastAsia="zh-Hans"/>
              </w:rPr>
            </w:pPr>
          </w:p>
        </w:tc>
      </w:tr>
      <w:tr w14:paraId="60951145">
        <w:tblPrEx>
          <w:tblCellMar>
            <w:top w:w="0" w:type="dxa"/>
            <w:left w:w="108" w:type="dxa"/>
            <w:bottom w:w="0" w:type="dxa"/>
            <w:right w:w="108" w:type="dxa"/>
          </w:tblCellMar>
        </w:tblPrEx>
        <w:trPr>
          <w:jc w:val="center"/>
        </w:trPr>
        <w:tc>
          <w:tcPr>
            <w:tcW w:w="4389" w:type="dxa"/>
          </w:tcPr>
          <w:p w14:paraId="542A3235">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71D5056D">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143E0F33">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2BD9E0E2">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15E61944">
        <w:tblPrEx>
          <w:tblCellMar>
            <w:top w:w="0" w:type="dxa"/>
            <w:left w:w="108" w:type="dxa"/>
            <w:bottom w:w="0" w:type="dxa"/>
            <w:right w:w="108" w:type="dxa"/>
          </w:tblCellMar>
        </w:tblPrEx>
        <w:trPr>
          <w:jc w:val="center"/>
        </w:trPr>
        <w:tc>
          <w:tcPr>
            <w:tcW w:w="4389" w:type="dxa"/>
          </w:tcPr>
          <w:p w14:paraId="51C475BB">
            <w:pPr>
              <w:spacing w:before="156" w:beforeLines="50" w:after="78" w:line="360" w:lineRule="auto"/>
              <w:rPr>
                <w:rFonts w:hint="eastAsia" w:ascii="宋体" w:hAnsi="宋体" w:cs="宋体"/>
                <w:color w:val="000000"/>
                <w:sz w:val="28"/>
                <w:szCs w:val="28"/>
                <w:lang w:eastAsia="zh-Hans"/>
              </w:rPr>
            </w:pPr>
          </w:p>
        </w:tc>
        <w:tc>
          <w:tcPr>
            <w:tcW w:w="4389" w:type="dxa"/>
          </w:tcPr>
          <w:p w14:paraId="78E575D3">
            <w:pPr>
              <w:spacing w:before="156" w:beforeLines="50" w:after="78" w:line="360" w:lineRule="auto"/>
              <w:rPr>
                <w:rFonts w:hint="eastAsia" w:ascii="宋体" w:hAnsi="宋体" w:cs="宋体"/>
                <w:color w:val="000000"/>
                <w:sz w:val="28"/>
                <w:szCs w:val="28"/>
                <w:lang w:eastAsia="zh-Hans"/>
              </w:rPr>
            </w:pPr>
          </w:p>
        </w:tc>
      </w:tr>
      <w:tr w14:paraId="5E1ACAEC">
        <w:tblPrEx>
          <w:tblCellMar>
            <w:top w:w="0" w:type="dxa"/>
            <w:left w:w="108" w:type="dxa"/>
            <w:bottom w:w="0" w:type="dxa"/>
            <w:right w:w="108" w:type="dxa"/>
          </w:tblCellMar>
        </w:tblPrEx>
        <w:trPr>
          <w:jc w:val="center"/>
        </w:trPr>
        <w:tc>
          <w:tcPr>
            <w:tcW w:w="4389" w:type="dxa"/>
          </w:tcPr>
          <w:p w14:paraId="3763F1B0">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103BB852">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44E7B539">
      <w:pPr>
        <w:spacing w:after="78"/>
        <w:rPr>
          <w:rFonts w:hint="eastAsia" w:ascii="宋体" w:hAnsi="宋体" w:cs="宋体"/>
          <w:sz w:val="28"/>
          <w:szCs w:val="28"/>
        </w:rPr>
      </w:pPr>
      <w:bookmarkStart w:id="6" w:name="_Hlk111222939"/>
      <w:r>
        <w:rPr>
          <w:rFonts w:hint="eastAsia" w:ascii="宋体" w:hAnsi="宋体" w:cs="宋体"/>
          <w:sz w:val="28"/>
          <w:szCs w:val="28"/>
        </w:rPr>
        <w:br w:type="page"/>
      </w:r>
    </w:p>
    <w:p w14:paraId="08201E5B">
      <w:pPr>
        <w:pStyle w:val="21"/>
        <w:spacing w:after="78" w:line="360" w:lineRule="auto"/>
        <w:ind w:firstLine="0" w:firstLineChars="0"/>
        <w:rPr>
          <w:rFonts w:hint="eastAsia" w:ascii="宋体" w:hAnsi="宋体" w:cs="宋体"/>
          <w:sz w:val="28"/>
          <w:szCs w:val="28"/>
        </w:rPr>
      </w:pPr>
      <w:r>
        <w:rPr>
          <w:rFonts w:hint="eastAsia" w:ascii="宋体" w:hAnsi="宋体" w:cs="宋体"/>
          <w:sz w:val="28"/>
          <w:szCs w:val="28"/>
        </w:rPr>
        <w:t>附件1：供应商廉洁协议书</w:t>
      </w:r>
    </w:p>
    <w:p w14:paraId="533949F2">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57D6AE4A">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61E943D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rPr>
        <w:t>一、</w:t>
      </w:r>
      <w:r>
        <w:rPr>
          <w:rFonts w:ascii="Times New Roman Regular" w:hAnsi="Times New Roman Regular" w:eastAsia="黑体" w:cs="Times New Roman Regular"/>
          <w:kern w:val="0"/>
          <w:sz w:val="32"/>
          <w:szCs w:val="32"/>
          <w:lang w:eastAsia="zh-Hans"/>
        </w:rPr>
        <w:t>严禁甲方人员有以下行为：</w:t>
      </w:r>
    </w:p>
    <w:p w14:paraId="4CDD869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98070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7F6C641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二、乙方不可以有以下行为：</w:t>
      </w:r>
    </w:p>
    <w:p w14:paraId="7C489D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8C654E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3BB31C7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58148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0B18D00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51F11A2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w:t>
      </w: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984DE7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957AA6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6"/>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1B6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33171E8">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AEBC37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006C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CB939C2">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08E97CFB">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42E0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665658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0AF3B7D8">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4F8F74DB">
      <w:pPr>
        <w:spacing w:after="78"/>
        <w:rPr>
          <w:rFonts w:hint="eastAsia" w:ascii="黑体" w:hAnsi="黑体" w:eastAsia="黑体"/>
          <w:sz w:val="32"/>
          <w:szCs w:val="32"/>
        </w:rPr>
      </w:pPr>
      <w:r>
        <w:rPr>
          <w:rFonts w:hint="eastAsia" w:ascii="宋体" w:hAnsi="宋体" w:cs="宋体"/>
          <w:sz w:val="28"/>
          <w:szCs w:val="28"/>
        </w:rPr>
        <w:br w:type="page"/>
      </w:r>
    </w:p>
    <w:p w14:paraId="2C67243B">
      <w:pPr>
        <w:pStyle w:val="3"/>
        <w:numPr>
          <w:ilvl w:val="0"/>
          <w:numId w:val="2"/>
        </w:numPr>
        <w:spacing w:after="78"/>
        <w:ind w:left="0" w:firstLine="0"/>
        <w:jc w:val="center"/>
      </w:pPr>
      <w:r>
        <w:rPr>
          <w:rFonts w:hint="eastAsia" w:ascii="黑体" w:hAnsi="黑体" w:eastAsia="黑体"/>
          <w:sz w:val="32"/>
          <w:szCs w:val="32"/>
        </w:rPr>
        <w:t>报价文件格式</w:t>
      </w:r>
    </w:p>
    <w:p w14:paraId="0BE5B8FD">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79764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6F675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37FF48C4">
            <w:pPr>
              <w:widowControl/>
              <w:spacing w:after="78" w:line="360" w:lineRule="atLeast"/>
              <w:jc w:val="center"/>
              <w:rPr>
                <w:rFonts w:hint="eastAsia" w:ascii="仿宋" w:hAnsi="仿宋" w:eastAsia="仿宋" w:cs="仿宋"/>
                <w:sz w:val="24"/>
                <w:szCs w:val="20"/>
              </w:rPr>
            </w:pPr>
          </w:p>
        </w:tc>
      </w:tr>
      <w:tr w14:paraId="3BD1AE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5FF8E5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8042228">
            <w:pPr>
              <w:widowControl/>
              <w:spacing w:after="78" w:line="360" w:lineRule="atLeast"/>
              <w:jc w:val="center"/>
              <w:rPr>
                <w:rFonts w:hint="eastAsia" w:ascii="仿宋" w:hAnsi="仿宋" w:eastAsia="仿宋" w:cs="仿宋"/>
                <w:sz w:val="24"/>
                <w:szCs w:val="20"/>
              </w:rPr>
            </w:pPr>
          </w:p>
        </w:tc>
        <w:tc>
          <w:tcPr>
            <w:tcW w:w="1320" w:type="dxa"/>
            <w:vAlign w:val="center"/>
          </w:tcPr>
          <w:p w14:paraId="719F12BF">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E9F2EC1">
            <w:pPr>
              <w:widowControl/>
              <w:spacing w:after="78" w:line="360" w:lineRule="atLeast"/>
              <w:jc w:val="center"/>
              <w:rPr>
                <w:rFonts w:hint="eastAsia" w:ascii="仿宋" w:hAnsi="仿宋" w:eastAsia="仿宋" w:cs="仿宋"/>
                <w:sz w:val="24"/>
                <w:szCs w:val="20"/>
              </w:rPr>
            </w:pPr>
          </w:p>
        </w:tc>
      </w:tr>
      <w:tr w14:paraId="5F8CAE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62439F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6D0816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017A79">
            <w:pPr>
              <w:widowControl/>
              <w:spacing w:after="78" w:line="360" w:lineRule="atLeast"/>
              <w:jc w:val="center"/>
              <w:rPr>
                <w:rFonts w:hint="eastAsia" w:ascii="仿宋" w:hAnsi="仿宋" w:eastAsia="仿宋" w:cs="仿宋"/>
                <w:sz w:val="24"/>
                <w:szCs w:val="20"/>
              </w:rPr>
            </w:pPr>
          </w:p>
        </w:tc>
        <w:tc>
          <w:tcPr>
            <w:tcW w:w="1320" w:type="dxa"/>
            <w:vAlign w:val="center"/>
          </w:tcPr>
          <w:p w14:paraId="1BC472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A613DCC">
            <w:pPr>
              <w:widowControl/>
              <w:spacing w:after="78" w:line="360" w:lineRule="atLeast"/>
              <w:jc w:val="center"/>
              <w:rPr>
                <w:rFonts w:hint="eastAsia" w:ascii="仿宋" w:hAnsi="仿宋" w:eastAsia="仿宋" w:cs="仿宋"/>
                <w:sz w:val="24"/>
                <w:szCs w:val="20"/>
              </w:rPr>
            </w:pPr>
          </w:p>
        </w:tc>
      </w:tr>
      <w:tr w14:paraId="1EC8F9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31AB3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25E9AF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26B124E">
            <w:pPr>
              <w:widowControl/>
              <w:spacing w:after="78" w:line="360" w:lineRule="atLeast"/>
              <w:jc w:val="center"/>
              <w:rPr>
                <w:rFonts w:hint="eastAsia" w:ascii="仿宋" w:hAnsi="仿宋" w:eastAsia="仿宋" w:cs="仿宋"/>
                <w:sz w:val="24"/>
                <w:szCs w:val="20"/>
              </w:rPr>
            </w:pPr>
          </w:p>
        </w:tc>
        <w:tc>
          <w:tcPr>
            <w:tcW w:w="850" w:type="dxa"/>
            <w:vAlign w:val="center"/>
          </w:tcPr>
          <w:p w14:paraId="00A9EC6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DE78B2">
            <w:pPr>
              <w:widowControl/>
              <w:spacing w:after="78" w:line="360" w:lineRule="atLeast"/>
              <w:jc w:val="center"/>
              <w:rPr>
                <w:rFonts w:hint="eastAsia" w:ascii="仿宋" w:hAnsi="仿宋" w:eastAsia="仿宋" w:cs="仿宋"/>
                <w:sz w:val="24"/>
                <w:szCs w:val="20"/>
              </w:rPr>
            </w:pPr>
          </w:p>
        </w:tc>
      </w:tr>
      <w:tr w14:paraId="326C15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F0F78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F8765A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853658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54C1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8B2D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14E5427">
            <w:pPr>
              <w:spacing w:after="78" w:line="360" w:lineRule="atLeast"/>
              <w:jc w:val="center"/>
              <w:rPr>
                <w:rFonts w:hint="eastAsia" w:ascii="仿宋" w:hAnsi="仿宋" w:eastAsia="仿宋" w:cs="仿宋"/>
                <w:sz w:val="24"/>
                <w:szCs w:val="20"/>
              </w:rPr>
            </w:pPr>
          </w:p>
          <w:p w14:paraId="24FF3303">
            <w:pPr>
              <w:widowControl/>
              <w:spacing w:after="78" w:line="360" w:lineRule="atLeast"/>
              <w:jc w:val="center"/>
              <w:rPr>
                <w:rFonts w:hint="eastAsia" w:ascii="仿宋" w:hAnsi="仿宋" w:eastAsia="仿宋" w:cs="仿宋"/>
                <w:sz w:val="24"/>
                <w:szCs w:val="20"/>
              </w:rPr>
            </w:pPr>
          </w:p>
        </w:tc>
      </w:tr>
      <w:tr w14:paraId="5EF262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792E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914519B">
            <w:pPr>
              <w:spacing w:after="78" w:line="360" w:lineRule="atLeast"/>
              <w:jc w:val="center"/>
              <w:rPr>
                <w:rFonts w:hint="eastAsia" w:ascii="仿宋" w:hAnsi="仿宋" w:eastAsia="仿宋" w:cs="仿宋"/>
                <w:sz w:val="24"/>
                <w:szCs w:val="20"/>
              </w:rPr>
            </w:pPr>
          </w:p>
          <w:p w14:paraId="6B8B6D70">
            <w:pPr>
              <w:widowControl/>
              <w:spacing w:after="78" w:line="360" w:lineRule="atLeast"/>
              <w:jc w:val="center"/>
              <w:rPr>
                <w:rFonts w:hint="eastAsia" w:ascii="仿宋" w:hAnsi="仿宋" w:eastAsia="仿宋" w:cs="仿宋"/>
                <w:sz w:val="24"/>
                <w:szCs w:val="20"/>
              </w:rPr>
            </w:pPr>
          </w:p>
        </w:tc>
      </w:tr>
      <w:tr w14:paraId="74F83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3B9388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3BAEBE3">
            <w:pPr>
              <w:widowControl/>
              <w:spacing w:after="78" w:line="360" w:lineRule="atLeast"/>
              <w:jc w:val="center"/>
              <w:rPr>
                <w:rFonts w:hint="eastAsia" w:ascii="仿宋" w:hAnsi="仿宋" w:eastAsia="仿宋" w:cs="仿宋"/>
                <w:sz w:val="24"/>
                <w:szCs w:val="20"/>
              </w:rPr>
            </w:pPr>
          </w:p>
        </w:tc>
      </w:tr>
      <w:tr w14:paraId="0D881B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06C00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A6EF3B3">
            <w:pPr>
              <w:widowControl/>
              <w:spacing w:after="78" w:line="360" w:lineRule="atLeast"/>
              <w:jc w:val="center"/>
              <w:rPr>
                <w:rFonts w:hint="eastAsia" w:ascii="仿宋" w:hAnsi="仿宋" w:eastAsia="仿宋" w:cs="仿宋"/>
                <w:sz w:val="24"/>
                <w:szCs w:val="20"/>
              </w:rPr>
            </w:pPr>
          </w:p>
        </w:tc>
      </w:tr>
      <w:tr w14:paraId="013184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99C98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796D9E2">
            <w:pPr>
              <w:widowControl/>
              <w:spacing w:after="78" w:line="360" w:lineRule="atLeast"/>
              <w:jc w:val="center"/>
              <w:rPr>
                <w:rFonts w:hint="eastAsia" w:ascii="仿宋" w:hAnsi="仿宋" w:eastAsia="仿宋" w:cs="仿宋"/>
                <w:sz w:val="24"/>
                <w:szCs w:val="20"/>
              </w:rPr>
            </w:pPr>
          </w:p>
        </w:tc>
      </w:tr>
      <w:tr w14:paraId="1E19D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BC997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557A320">
            <w:pPr>
              <w:widowControl/>
              <w:spacing w:after="78" w:line="360" w:lineRule="atLeast"/>
              <w:jc w:val="center"/>
              <w:rPr>
                <w:rFonts w:hint="eastAsia" w:ascii="仿宋" w:hAnsi="仿宋" w:eastAsia="仿宋" w:cs="仿宋"/>
                <w:sz w:val="24"/>
                <w:szCs w:val="20"/>
              </w:rPr>
            </w:pPr>
          </w:p>
        </w:tc>
      </w:tr>
    </w:tbl>
    <w:p w14:paraId="60B89813">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24AEF5AF">
      <w:pPr>
        <w:spacing w:after="78"/>
        <w:ind w:firstLine="560"/>
      </w:pPr>
    </w:p>
    <w:p w14:paraId="6713F9D0">
      <w:pPr>
        <w:spacing w:after="78"/>
        <w:ind w:firstLine="560"/>
      </w:pPr>
    </w:p>
    <w:p w14:paraId="04638618">
      <w:pPr>
        <w:spacing w:after="78"/>
        <w:ind w:firstLine="560"/>
      </w:pPr>
    </w:p>
    <w:p w14:paraId="791BFEE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20F39B0">
      <w:pPr>
        <w:snapToGrid w:val="0"/>
        <w:spacing w:afterLines="0" w:line="360" w:lineRule="auto"/>
        <w:ind w:firstLine="525" w:firstLineChars="250"/>
        <w:jc w:val="right"/>
        <w:rPr>
          <w:rFonts w:hint="eastAsia" w:ascii="仿宋" w:hAnsi="仿宋" w:eastAsia="仿宋" w:cs="Arial"/>
        </w:rPr>
      </w:pPr>
    </w:p>
    <w:p w14:paraId="5D24F751">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6E30CB3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水务咨询</w:t>
      </w:r>
      <w:r>
        <w:rPr>
          <w:rFonts w:hint="eastAsia" w:ascii="仿宋" w:hAnsi="仿宋" w:eastAsia="仿宋"/>
          <w:color w:val="000000"/>
          <w:kern w:val="0"/>
          <w:szCs w:val="21"/>
        </w:rPr>
        <w:t>有限公司</w:t>
      </w:r>
      <w:r>
        <w:rPr>
          <w:rFonts w:ascii="仿宋" w:hAnsi="仿宋" w:eastAsia="仿宋"/>
          <w:color w:val="000000"/>
          <w:szCs w:val="21"/>
        </w:rPr>
        <w:t>：</w:t>
      </w:r>
    </w:p>
    <w:p w14:paraId="60F119A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在线比对服务采购项目（第二次）</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在线比对服务采购项目（第二次）</w:t>
      </w:r>
      <w:r>
        <w:rPr>
          <w:rFonts w:hint="eastAsia" w:ascii="仿宋" w:hAnsi="仿宋" w:eastAsia="仿宋"/>
          <w:bCs/>
          <w:color w:val="000000"/>
          <w:szCs w:val="21"/>
        </w:rPr>
        <w:t>报价</w:t>
      </w:r>
      <w:r>
        <w:rPr>
          <w:rFonts w:ascii="仿宋" w:hAnsi="仿宋" w:eastAsia="仿宋"/>
          <w:color w:val="000000"/>
          <w:szCs w:val="21"/>
        </w:rPr>
        <w:t>，作出以下承诺：</w:t>
      </w:r>
    </w:p>
    <w:p w14:paraId="1C7214AE">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90181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F95C76">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A5CEB7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9C3055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9B06F6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0AFE23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6856F1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8034715">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7"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月至今）或成立至今（成立不足</w:t>
      </w:r>
      <w:r>
        <w:rPr>
          <w:rFonts w:hint="eastAsia" w:ascii="仿宋" w:hAnsi="仿宋" w:eastAsia="仿宋"/>
          <w:szCs w:val="21"/>
          <w:lang w:val="en-US" w:eastAsia="zh-CN"/>
        </w:rPr>
        <w:t>二</w:t>
      </w:r>
      <w:r>
        <w:rPr>
          <w:rFonts w:hint="eastAsia" w:ascii="仿宋" w:hAnsi="仿宋" w:eastAsia="仿宋"/>
          <w:szCs w:val="21"/>
        </w:rPr>
        <w:t>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在线比对服务采购项目（第二次）</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922AD62">
      <w:pPr>
        <w:pStyle w:val="2"/>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8" w:name="_Hlk180658069"/>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5"/>
      </w:pPr>
    </w:p>
    <w:p w14:paraId="25BDA6BC">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2"/>
        <w:adjustRightInd w:val="0"/>
        <w:spacing w:before="240" w:after="120" w:afterLines="0" w:line="400" w:lineRule="exact"/>
        <w:ind w:firstLine="482" w:firstLineChars="20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8"/>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4E8325C3">
      <w:pPr>
        <w:pStyle w:val="2"/>
        <w:adjustRightInd w:val="0"/>
        <w:spacing w:before="240" w:after="120" w:afterLines="0" w:line="400" w:lineRule="exact"/>
        <w:rPr>
          <w:rFonts w:hint="default" w:ascii="Calibri" w:hAnsi="Calibri" w:eastAsia="宋体"/>
          <w:sz w:val="24"/>
          <w:szCs w:val="22"/>
          <w:lang w:val="en-US" w:eastAsia="zh-CN"/>
        </w:rPr>
      </w:pPr>
      <w:r>
        <w:br w:type="page"/>
      </w:r>
      <w:r>
        <w:rPr>
          <w:rFonts w:hint="eastAsia" w:ascii="Calibri" w:hAnsi="Calibri" w:eastAsia="仿宋"/>
          <w:sz w:val="24"/>
          <w:szCs w:val="22"/>
          <w:lang w:val="en-US" w:eastAsia="zh-CN"/>
        </w:rPr>
        <w:t>相关资质证明文件</w:t>
      </w:r>
    </w:p>
    <w:p w14:paraId="724B1FB4">
      <w:pPr>
        <w:spacing w:after="78"/>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2DBB1C7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3360;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p5L6NUAAAAHAQAADwAAAAAAAAABACAAAAAiAAAAZHJzL2Rvd25yZXYueG1sUEsB&#10;AhQAFAAAAAgAh07iQGaEqtlqAgAA6wQAAA4AAAAAAAAAAQAgAAAAJAEAAGRycy9lMm9Eb2MueG1s&#10;UEsFBgAAAAAGAAYAWQEAAAAGAAAAAA==&#10;">
                <v:fill on="t" focussize="0,0"/>
                <v:stroke weight="0.5pt" color="#000000" joinstyle="round"/>
                <v:imagedata o:title=""/>
                <o:lock v:ext="edit" aspectratio="f"/>
                <v:textbox>
                  <w:txbxContent>
                    <w:p w14:paraId="2DBB1C70">
                      <w:pPr>
                        <w:spacing w:after="78"/>
                      </w:pPr>
                    </w:p>
                  </w:txbxContent>
                </v:textbox>
              </v:shape>
            </w:pict>
          </mc:Fallback>
        </mc:AlternateContent>
      </w:r>
    </w:p>
    <w:p w14:paraId="05517647">
      <w:pPr>
        <w:spacing w:after="78"/>
      </w:pPr>
    </w:p>
    <w:p w14:paraId="3AAD5FE4">
      <w:pPr>
        <w:spacing w:after="78"/>
      </w:pPr>
    </w:p>
    <w:p w14:paraId="7DDC2C15">
      <w:pPr>
        <w:spacing w:after="78"/>
      </w:pPr>
    </w:p>
    <w:p w14:paraId="5D42F138">
      <w:pPr>
        <w:tabs>
          <w:tab w:val="left" w:pos="1110"/>
        </w:tabs>
        <w:spacing w:after="78" w:line="276" w:lineRule="auto"/>
        <w:ind w:firstLine="480" w:firstLineChars="200"/>
        <w:rPr>
          <w:rFonts w:hint="eastAsia" w:ascii="仿宋" w:hAnsi="仿宋" w:eastAsia="仿宋" w:cs="宋体"/>
          <w:color w:val="000000"/>
          <w:sz w:val="24"/>
          <w:szCs w:val="21"/>
        </w:rPr>
      </w:pPr>
    </w:p>
    <w:p w14:paraId="311E3C31">
      <w:pPr>
        <w:tabs>
          <w:tab w:val="left" w:pos="1110"/>
        </w:tabs>
        <w:spacing w:after="78" w:line="276" w:lineRule="auto"/>
        <w:ind w:firstLine="480" w:firstLineChars="200"/>
        <w:rPr>
          <w:rFonts w:hint="eastAsia" w:ascii="仿宋" w:hAnsi="仿宋" w:eastAsia="仿宋" w:cs="宋体"/>
          <w:color w:val="000000"/>
          <w:sz w:val="24"/>
          <w:szCs w:val="21"/>
        </w:rPr>
      </w:pPr>
    </w:p>
    <w:p w14:paraId="1E4076A6">
      <w:pPr>
        <w:tabs>
          <w:tab w:val="left" w:pos="1110"/>
        </w:tabs>
        <w:spacing w:after="78" w:line="276" w:lineRule="auto"/>
        <w:ind w:firstLine="480" w:firstLineChars="200"/>
        <w:rPr>
          <w:rFonts w:hint="eastAsia" w:ascii="仿宋" w:hAnsi="仿宋" w:eastAsia="仿宋" w:cs="宋体"/>
          <w:color w:val="000000"/>
          <w:sz w:val="24"/>
          <w:szCs w:val="21"/>
        </w:rPr>
      </w:pPr>
    </w:p>
    <w:p w14:paraId="61C2A936">
      <w:pPr>
        <w:tabs>
          <w:tab w:val="left" w:pos="1110"/>
        </w:tabs>
        <w:spacing w:after="78" w:line="276" w:lineRule="auto"/>
        <w:ind w:firstLine="480" w:firstLineChars="200"/>
        <w:rPr>
          <w:rFonts w:hint="eastAsia" w:ascii="仿宋" w:hAnsi="仿宋" w:eastAsia="仿宋" w:cs="宋体"/>
          <w:color w:val="000000"/>
          <w:sz w:val="24"/>
          <w:szCs w:val="21"/>
        </w:rPr>
      </w:pPr>
    </w:p>
    <w:p w14:paraId="6CF51E97">
      <w:pPr>
        <w:tabs>
          <w:tab w:val="left" w:pos="1110"/>
        </w:tabs>
        <w:spacing w:after="78" w:line="276" w:lineRule="auto"/>
        <w:ind w:firstLine="480" w:firstLineChars="200"/>
        <w:rPr>
          <w:rFonts w:hint="eastAsia" w:ascii="仿宋" w:hAnsi="仿宋" w:eastAsia="仿宋" w:cs="宋体"/>
          <w:color w:val="000000"/>
          <w:sz w:val="24"/>
          <w:szCs w:val="21"/>
        </w:rPr>
      </w:pPr>
    </w:p>
    <w:p w14:paraId="19840DCA">
      <w:pPr>
        <w:tabs>
          <w:tab w:val="left" w:pos="1110"/>
        </w:tabs>
        <w:spacing w:after="78" w:line="276" w:lineRule="auto"/>
        <w:ind w:firstLine="480" w:firstLineChars="200"/>
        <w:rPr>
          <w:rFonts w:hint="eastAsia" w:ascii="仿宋" w:hAnsi="仿宋" w:eastAsia="仿宋" w:cs="宋体"/>
          <w:color w:val="000000"/>
          <w:sz w:val="24"/>
          <w:szCs w:val="21"/>
        </w:rPr>
      </w:pPr>
    </w:p>
    <w:p w14:paraId="7B087BD0">
      <w:pPr>
        <w:tabs>
          <w:tab w:val="left" w:pos="1110"/>
        </w:tabs>
        <w:spacing w:after="78" w:line="276" w:lineRule="auto"/>
        <w:ind w:firstLine="480" w:firstLineChars="200"/>
        <w:rPr>
          <w:rFonts w:hint="eastAsia" w:ascii="仿宋" w:hAnsi="仿宋" w:eastAsia="仿宋" w:cs="宋体"/>
          <w:color w:val="000000"/>
          <w:sz w:val="24"/>
          <w:szCs w:val="21"/>
        </w:rPr>
      </w:pPr>
    </w:p>
    <w:p w14:paraId="20CD8165">
      <w:pPr>
        <w:tabs>
          <w:tab w:val="left" w:pos="1110"/>
        </w:tabs>
        <w:spacing w:after="78" w:line="276" w:lineRule="auto"/>
        <w:ind w:firstLine="480" w:firstLineChars="200"/>
        <w:rPr>
          <w:rFonts w:hint="eastAsia" w:ascii="仿宋" w:hAnsi="仿宋" w:eastAsia="仿宋" w:cs="宋体"/>
          <w:color w:val="000000"/>
          <w:sz w:val="24"/>
          <w:szCs w:val="21"/>
        </w:rPr>
      </w:pPr>
    </w:p>
    <w:p w14:paraId="57D30784">
      <w:pPr>
        <w:pStyle w:val="69"/>
        <w:ind w:firstLine="0" w:firstLineChars="0"/>
      </w:pPr>
      <w:r>
        <w:br w:type="page"/>
      </w:r>
    </w:p>
    <w:p w14:paraId="14A1F98A">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在线比对服务采购报价一览表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708"/>
        <w:gridCol w:w="730"/>
        <w:gridCol w:w="55"/>
        <w:gridCol w:w="908"/>
        <w:gridCol w:w="52"/>
        <w:gridCol w:w="1900"/>
        <w:gridCol w:w="1766"/>
      </w:tblGrid>
      <w:tr w14:paraId="759D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1227" w:type="dxa"/>
            <w:vAlign w:val="center"/>
          </w:tcPr>
          <w:p w14:paraId="24EED8A2">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8"/>
            <w:vAlign w:val="center"/>
          </w:tcPr>
          <w:p w14:paraId="79F98CD9">
            <w:pPr>
              <w:spacing w:afterLines="0" w:line="300" w:lineRule="exact"/>
              <w:jc w:val="center"/>
              <w:rPr>
                <w:rFonts w:hint="eastAsia" w:ascii="仿宋" w:hAnsi="仿宋" w:eastAsia="仿宋"/>
                <w:b/>
                <w:szCs w:val="21"/>
                <w:lang w:eastAsia="zh-CN"/>
              </w:rPr>
            </w:pPr>
            <w:r>
              <w:rPr>
                <w:rFonts w:hint="eastAsia" w:ascii="仿宋" w:hAnsi="仿宋" w:eastAsia="仿宋"/>
                <w:b/>
                <w:bCs/>
                <w:kern w:val="0"/>
                <w:sz w:val="24"/>
                <w:lang w:eastAsia="zh-CN"/>
              </w:rPr>
              <w:t>在线比对服务采购项目（第二次）</w:t>
            </w:r>
          </w:p>
        </w:tc>
      </w:tr>
      <w:tr w14:paraId="4DB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3221C21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5420FF18">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10E721C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3"/>
          </w:tcPr>
          <w:p w14:paraId="0E076B8B">
            <w:pPr>
              <w:spacing w:afterLines="0"/>
              <w:jc w:val="center"/>
              <w:rPr>
                <w:rFonts w:hint="eastAsia" w:ascii="仿宋" w:hAnsi="仿宋" w:eastAsia="仿宋"/>
                <w:szCs w:val="21"/>
              </w:rPr>
            </w:pPr>
          </w:p>
        </w:tc>
      </w:tr>
      <w:tr w14:paraId="0607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45FC7072">
            <w:pPr>
              <w:spacing w:afterLines="0" w:line="300" w:lineRule="exact"/>
              <w:jc w:val="center"/>
              <w:rPr>
                <w:rFonts w:hint="eastAsia" w:ascii="仿宋" w:hAnsi="仿宋" w:eastAsia="仿宋"/>
                <w:szCs w:val="21"/>
              </w:rPr>
            </w:pPr>
          </w:p>
        </w:tc>
        <w:tc>
          <w:tcPr>
            <w:tcW w:w="3839" w:type="dxa"/>
            <w:gridSpan w:val="3"/>
            <w:vMerge w:val="continue"/>
            <w:vAlign w:val="center"/>
          </w:tcPr>
          <w:p w14:paraId="00729298">
            <w:pPr>
              <w:spacing w:afterLines="0" w:line="300" w:lineRule="exact"/>
              <w:jc w:val="center"/>
              <w:rPr>
                <w:rFonts w:hint="eastAsia" w:ascii="仿宋" w:hAnsi="仿宋" w:eastAsia="仿宋"/>
                <w:szCs w:val="21"/>
              </w:rPr>
            </w:pPr>
          </w:p>
        </w:tc>
        <w:tc>
          <w:tcPr>
            <w:tcW w:w="963" w:type="dxa"/>
            <w:gridSpan w:val="2"/>
            <w:vAlign w:val="center"/>
          </w:tcPr>
          <w:p w14:paraId="466E882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3"/>
          </w:tcPr>
          <w:p w14:paraId="1969AC64">
            <w:pPr>
              <w:spacing w:afterLines="0"/>
              <w:jc w:val="center"/>
              <w:rPr>
                <w:rFonts w:hint="eastAsia" w:ascii="仿宋" w:hAnsi="仿宋" w:eastAsia="仿宋"/>
                <w:szCs w:val="21"/>
              </w:rPr>
            </w:pPr>
          </w:p>
        </w:tc>
      </w:tr>
      <w:tr w14:paraId="58E3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5E25189E">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502E3E43">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9177A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3"/>
          </w:tcPr>
          <w:p w14:paraId="34C3DC31">
            <w:pPr>
              <w:spacing w:afterLines="0"/>
              <w:jc w:val="center"/>
              <w:rPr>
                <w:rFonts w:hint="eastAsia" w:ascii="仿宋" w:hAnsi="仿宋" w:eastAsia="仿宋"/>
                <w:szCs w:val="21"/>
              </w:rPr>
            </w:pPr>
          </w:p>
        </w:tc>
      </w:tr>
      <w:tr w14:paraId="59E1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9"/>
            <w:vAlign w:val="center"/>
          </w:tcPr>
          <w:p w14:paraId="197C8AB4">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BC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4A5C033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46F3686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08" w:type="dxa"/>
            <w:vAlign w:val="center"/>
          </w:tcPr>
          <w:p w14:paraId="02F9566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32750B48">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4F3E9CC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952" w:type="dxa"/>
            <w:gridSpan w:val="2"/>
            <w:vAlign w:val="center"/>
          </w:tcPr>
          <w:p w14:paraId="3011640C">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766" w:type="dxa"/>
            <w:vAlign w:val="center"/>
          </w:tcPr>
          <w:p w14:paraId="4A9D9E2F">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4BD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C18B420">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1AC3129C">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48AD9C20">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PH值</w:t>
            </w:r>
          </w:p>
        </w:tc>
        <w:tc>
          <w:tcPr>
            <w:tcW w:w="730" w:type="dxa"/>
            <w:vAlign w:val="center"/>
          </w:tcPr>
          <w:p w14:paraId="474B4CF8">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2ED49BAA">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2D648CDE">
            <w:pPr>
              <w:spacing w:afterLines="0" w:line="440" w:lineRule="exact"/>
              <w:jc w:val="center"/>
              <w:rPr>
                <w:rFonts w:hint="eastAsia" w:ascii="仿宋" w:hAnsi="仿宋" w:eastAsia="仿宋"/>
                <w:szCs w:val="21"/>
              </w:rPr>
            </w:pPr>
          </w:p>
        </w:tc>
        <w:tc>
          <w:tcPr>
            <w:tcW w:w="1766" w:type="dxa"/>
            <w:vMerge w:val="restart"/>
            <w:vAlign w:val="center"/>
          </w:tcPr>
          <w:p w14:paraId="274637B6">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单价为完成一个检测点对应检测因子的检测价格</w:t>
            </w:r>
          </w:p>
        </w:tc>
      </w:tr>
      <w:tr w14:paraId="67BC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254A39A">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4150DC9">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56BE8C65">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SS</w:t>
            </w:r>
          </w:p>
        </w:tc>
        <w:tc>
          <w:tcPr>
            <w:tcW w:w="730" w:type="dxa"/>
            <w:vAlign w:val="center"/>
          </w:tcPr>
          <w:p w14:paraId="671CD741">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587ACD47">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7A21EF83">
            <w:pPr>
              <w:spacing w:afterLines="0" w:line="440" w:lineRule="exact"/>
              <w:jc w:val="center"/>
              <w:rPr>
                <w:rFonts w:hint="eastAsia" w:ascii="仿宋" w:hAnsi="仿宋" w:eastAsia="仿宋"/>
                <w:szCs w:val="21"/>
              </w:rPr>
            </w:pPr>
          </w:p>
        </w:tc>
        <w:tc>
          <w:tcPr>
            <w:tcW w:w="1766" w:type="dxa"/>
            <w:vMerge w:val="continue"/>
            <w:vAlign w:val="center"/>
          </w:tcPr>
          <w:p w14:paraId="0E518089">
            <w:pPr>
              <w:spacing w:afterLines="0" w:line="440" w:lineRule="exact"/>
              <w:jc w:val="center"/>
              <w:rPr>
                <w:rFonts w:hint="eastAsia" w:ascii="仿宋" w:hAnsi="仿宋" w:eastAsia="仿宋"/>
                <w:szCs w:val="21"/>
              </w:rPr>
            </w:pPr>
          </w:p>
        </w:tc>
      </w:tr>
      <w:tr w14:paraId="5DF6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D8B24F7">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7128464C">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15D59D91">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总磷</w:t>
            </w:r>
          </w:p>
        </w:tc>
        <w:tc>
          <w:tcPr>
            <w:tcW w:w="730" w:type="dxa"/>
            <w:vAlign w:val="center"/>
          </w:tcPr>
          <w:p w14:paraId="5A1C559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75AF549B">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7DEFFEDF">
            <w:pPr>
              <w:spacing w:afterLines="0" w:line="440" w:lineRule="exact"/>
              <w:jc w:val="center"/>
              <w:rPr>
                <w:rFonts w:hint="eastAsia" w:ascii="仿宋" w:hAnsi="仿宋" w:eastAsia="仿宋"/>
                <w:szCs w:val="21"/>
              </w:rPr>
            </w:pPr>
          </w:p>
        </w:tc>
        <w:tc>
          <w:tcPr>
            <w:tcW w:w="1766" w:type="dxa"/>
            <w:vMerge w:val="continue"/>
            <w:vAlign w:val="center"/>
          </w:tcPr>
          <w:p w14:paraId="0A8EAFDB">
            <w:pPr>
              <w:spacing w:afterLines="0" w:line="440" w:lineRule="exact"/>
              <w:jc w:val="center"/>
              <w:rPr>
                <w:rFonts w:hint="eastAsia" w:ascii="仿宋" w:hAnsi="仿宋" w:eastAsia="仿宋"/>
                <w:szCs w:val="21"/>
              </w:rPr>
            </w:pPr>
          </w:p>
        </w:tc>
      </w:tr>
      <w:tr w14:paraId="113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5FD6F966">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C5727F1">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71DA9344">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氨氮</w:t>
            </w:r>
          </w:p>
        </w:tc>
        <w:tc>
          <w:tcPr>
            <w:tcW w:w="730" w:type="dxa"/>
            <w:vAlign w:val="center"/>
          </w:tcPr>
          <w:p w14:paraId="0EFC6B73">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51190B42">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6F28AEE9">
            <w:pPr>
              <w:spacing w:afterLines="0" w:line="440" w:lineRule="exact"/>
              <w:jc w:val="center"/>
              <w:rPr>
                <w:rFonts w:hint="eastAsia" w:ascii="仿宋" w:hAnsi="仿宋" w:eastAsia="仿宋"/>
                <w:szCs w:val="21"/>
              </w:rPr>
            </w:pPr>
          </w:p>
        </w:tc>
        <w:tc>
          <w:tcPr>
            <w:tcW w:w="1766" w:type="dxa"/>
            <w:vMerge w:val="continue"/>
            <w:vAlign w:val="center"/>
          </w:tcPr>
          <w:p w14:paraId="29557654">
            <w:pPr>
              <w:spacing w:afterLines="0" w:line="440" w:lineRule="exact"/>
              <w:jc w:val="center"/>
              <w:rPr>
                <w:rFonts w:hint="eastAsia" w:ascii="仿宋" w:hAnsi="仿宋" w:eastAsia="仿宋"/>
                <w:szCs w:val="21"/>
              </w:rPr>
            </w:pPr>
          </w:p>
        </w:tc>
      </w:tr>
      <w:tr w14:paraId="0801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08AB307D">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45B1FD5A">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331DFDBF">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总氮</w:t>
            </w:r>
          </w:p>
        </w:tc>
        <w:tc>
          <w:tcPr>
            <w:tcW w:w="730" w:type="dxa"/>
            <w:vAlign w:val="center"/>
          </w:tcPr>
          <w:p w14:paraId="7D71CEB8">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00C30787">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3209F65F">
            <w:pPr>
              <w:spacing w:afterLines="0" w:line="440" w:lineRule="exact"/>
              <w:jc w:val="center"/>
              <w:rPr>
                <w:rFonts w:hint="eastAsia" w:ascii="仿宋" w:hAnsi="仿宋" w:eastAsia="仿宋"/>
                <w:szCs w:val="21"/>
              </w:rPr>
            </w:pPr>
          </w:p>
        </w:tc>
        <w:tc>
          <w:tcPr>
            <w:tcW w:w="1766" w:type="dxa"/>
            <w:vMerge w:val="continue"/>
            <w:vAlign w:val="center"/>
          </w:tcPr>
          <w:p w14:paraId="6E25AB1C">
            <w:pPr>
              <w:spacing w:afterLines="0" w:line="440" w:lineRule="exact"/>
              <w:jc w:val="center"/>
              <w:rPr>
                <w:rFonts w:hint="eastAsia" w:ascii="仿宋" w:hAnsi="仿宋" w:eastAsia="仿宋"/>
                <w:szCs w:val="21"/>
              </w:rPr>
            </w:pPr>
          </w:p>
        </w:tc>
      </w:tr>
      <w:tr w14:paraId="6937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1227" w:type="dxa"/>
            <w:vAlign w:val="center"/>
          </w:tcPr>
          <w:p w14:paraId="13993CC9">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C780721">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0785C29D">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COD</w:t>
            </w:r>
            <w:r>
              <w:rPr>
                <w:rFonts w:hint="eastAsia" w:ascii="仿宋" w:hAnsi="仿宋" w:eastAsia="仿宋"/>
                <w:vertAlign w:val="subscript"/>
                <w:lang w:val="en-US" w:eastAsia="zh-CN"/>
              </w:rPr>
              <w:t>CR</w:t>
            </w:r>
          </w:p>
        </w:tc>
        <w:tc>
          <w:tcPr>
            <w:tcW w:w="730" w:type="dxa"/>
            <w:vAlign w:val="center"/>
          </w:tcPr>
          <w:p w14:paraId="6C5F498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11FA4481">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36DD4708">
            <w:pPr>
              <w:spacing w:afterLines="0" w:line="440" w:lineRule="exact"/>
              <w:jc w:val="center"/>
              <w:rPr>
                <w:rFonts w:hint="eastAsia" w:ascii="仿宋" w:hAnsi="仿宋" w:eastAsia="仿宋"/>
                <w:szCs w:val="21"/>
              </w:rPr>
            </w:pPr>
          </w:p>
        </w:tc>
        <w:tc>
          <w:tcPr>
            <w:tcW w:w="1766" w:type="dxa"/>
            <w:vMerge w:val="continue"/>
            <w:vAlign w:val="center"/>
          </w:tcPr>
          <w:p w14:paraId="333043FD">
            <w:pPr>
              <w:spacing w:afterLines="0" w:line="440" w:lineRule="exact"/>
              <w:jc w:val="center"/>
              <w:rPr>
                <w:rFonts w:hint="eastAsia" w:ascii="仿宋" w:hAnsi="仿宋" w:eastAsia="仿宋"/>
                <w:szCs w:val="21"/>
              </w:rPr>
            </w:pPr>
          </w:p>
        </w:tc>
      </w:tr>
      <w:tr w14:paraId="663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9"/>
            <w:vAlign w:val="center"/>
          </w:tcPr>
          <w:p w14:paraId="440DF32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234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3CF831E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189FEB4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A10B8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3"/>
            <w:vAlign w:val="center"/>
          </w:tcPr>
          <w:p w14:paraId="7E8DDC3F">
            <w:pPr>
              <w:spacing w:afterLines="0" w:line="300" w:lineRule="exact"/>
              <w:jc w:val="center"/>
              <w:rPr>
                <w:rFonts w:hint="eastAsia" w:ascii="仿宋" w:hAnsi="仿宋" w:eastAsia="仿宋"/>
                <w:szCs w:val="21"/>
              </w:rPr>
            </w:pPr>
          </w:p>
        </w:tc>
      </w:tr>
      <w:tr w14:paraId="76B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0052D52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8"/>
            <w:vAlign w:val="center"/>
          </w:tcPr>
          <w:p w14:paraId="04C78E76">
            <w:pPr>
              <w:spacing w:afterLines="0" w:line="300" w:lineRule="exact"/>
              <w:jc w:val="left"/>
              <w:rPr>
                <w:rFonts w:hint="default" w:ascii="仿宋" w:hAnsi="仿宋" w:eastAsia="仿宋"/>
                <w:szCs w:val="21"/>
                <w:lang w:val="en-US" w:eastAsia="zh-CN"/>
              </w:rPr>
            </w:pPr>
            <w:r>
              <w:rPr>
                <w:rFonts w:hint="eastAsia" w:ascii="仿宋" w:hAnsi="仿宋" w:eastAsia="仿宋"/>
                <w:szCs w:val="21"/>
              </w:rPr>
              <w:t>签订单价合同，按季度据实支付，乙方应当向甲方提交付款申请材料，甲方审核通过后支付相应的款项。</w:t>
            </w:r>
          </w:p>
        </w:tc>
      </w:tr>
      <w:tr w14:paraId="6E4D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00E0493D">
            <w:pPr>
              <w:spacing w:afterLines="0" w:line="300" w:lineRule="exact"/>
              <w:jc w:val="center"/>
              <w:rPr>
                <w:rFonts w:hint="eastAsia" w:ascii="仿宋" w:hAnsi="仿宋" w:eastAsia="仿宋"/>
                <w:szCs w:val="21"/>
              </w:rPr>
            </w:pPr>
            <w:r>
              <w:rPr>
                <w:rFonts w:hint="eastAsia" w:ascii="仿宋" w:hAnsi="仿宋" w:eastAsia="仿宋"/>
                <w:szCs w:val="21"/>
              </w:rPr>
              <w:t>工期</w:t>
            </w:r>
          </w:p>
        </w:tc>
        <w:tc>
          <w:tcPr>
            <w:tcW w:w="3894" w:type="dxa"/>
            <w:gridSpan w:val="4"/>
            <w:vAlign w:val="center"/>
          </w:tcPr>
          <w:p w14:paraId="3766513F">
            <w:pPr>
              <w:spacing w:afterLines="0" w:line="300" w:lineRule="exact"/>
              <w:jc w:val="left"/>
              <w:rPr>
                <w:rFonts w:hint="default" w:ascii="仿宋" w:hAnsi="仿宋" w:eastAsia="仿宋"/>
                <w:szCs w:val="21"/>
                <w:lang w:val="en-US" w:eastAsia="zh-CN"/>
              </w:rPr>
            </w:pPr>
            <w:r>
              <w:rPr>
                <w:rFonts w:hint="default" w:ascii="仿宋" w:hAnsi="仿宋" w:eastAsia="仿宋"/>
                <w:szCs w:val="21"/>
                <w:lang w:val="en-US" w:eastAsia="zh-CN"/>
              </w:rPr>
              <w:t>每轮比对服务</w:t>
            </w:r>
            <w:r>
              <w:rPr>
                <w:rFonts w:hint="eastAsia" w:ascii="仿宋" w:hAnsi="仿宋" w:eastAsia="仿宋"/>
                <w:szCs w:val="21"/>
                <w:lang w:val="en-US" w:eastAsia="zh-CN"/>
              </w:rPr>
              <w:t>的</w:t>
            </w:r>
            <w:r>
              <w:rPr>
                <w:rFonts w:hint="default" w:ascii="仿宋" w:hAnsi="仿宋" w:eastAsia="仿宋"/>
                <w:szCs w:val="21"/>
                <w:lang w:val="en-US" w:eastAsia="zh-CN"/>
              </w:rPr>
              <w:t>工期为15天</w:t>
            </w:r>
          </w:p>
        </w:tc>
        <w:tc>
          <w:tcPr>
            <w:tcW w:w="960" w:type="dxa"/>
            <w:gridSpan w:val="2"/>
            <w:vAlign w:val="center"/>
          </w:tcPr>
          <w:p w14:paraId="6B47BE8B">
            <w:pPr>
              <w:spacing w:afterLines="0" w:line="300" w:lineRule="exact"/>
              <w:jc w:val="left"/>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期</w:t>
            </w:r>
          </w:p>
        </w:tc>
        <w:tc>
          <w:tcPr>
            <w:tcW w:w="3666" w:type="dxa"/>
            <w:gridSpan w:val="2"/>
            <w:vAlign w:val="center"/>
          </w:tcPr>
          <w:p w14:paraId="3A65CBF0">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354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9"/>
            <w:vAlign w:val="center"/>
          </w:tcPr>
          <w:p w14:paraId="30A6ADB3">
            <w:pPr>
              <w:spacing w:afterLines="0" w:line="300" w:lineRule="exact"/>
              <w:jc w:val="left"/>
              <w:rPr>
                <w:rFonts w:hint="eastAsia" w:ascii="仿宋" w:hAnsi="仿宋" w:eastAsia="仿宋"/>
                <w:szCs w:val="21"/>
              </w:rPr>
            </w:pPr>
            <w:r>
              <w:rPr>
                <w:rFonts w:hint="eastAsia" w:ascii="仿宋" w:hAnsi="仿宋" w:eastAsia="仿宋"/>
                <w:szCs w:val="21"/>
              </w:rPr>
              <w:t>1、以上为参考报价格式，可自行修改；如使用本报价单模板，标“*”为必填项；</w:t>
            </w:r>
          </w:p>
          <w:p w14:paraId="05627516">
            <w:pPr>
              <w:spacing w:afterLines="0" w:line="300" w:lineRule="exact"/>
              <w:jc w:val="left"/>
              <w:rPr>
                <w:rFonts w:hint="eastAsia" w:ascii="仿宋" w:hAnsi="仿宋" w:eastAsia="仿宋"/>
                <w:szCs w:val="21"/>
              </w:rPr>
            </w:pPr>
            <w:r>
              <w:rPr>
                <w:rFonts w:hint="eastAsia" w:ascii="仿宋" w:hAnsi="仿宋" w:eastAsia="仿宋"/>
                <w:szCs w:val="21"/>
              </w:rPr>
              <w:t>2、供应商报价应包含材料费、人工费、设备费、运输费、管理费、利润、税金以及合同明示或暗示的所有可预见和不可预见的一般风险、责任和义务等所有的一切相关费用；</w:t>
            </w:r>
          </w:p>
          <w:p w14:paraId="2D32844A">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57A37849">
            <w:pPr>
              <w:spacing w:afterLines="0" w:line="300" w:lineRule="exact"/>
              <w:jc w:val="left"/>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5F60EB14">
      <w:pPr>
        <w:pStyle w:val="9"/>
        <w:jc w:val="center"/>
        <w:rPr>
          <w:rFonts w:hint="eastAsia" w:ascii="仿宋" w:hAnsi="仿宋" w:eastAsia="仿宋"/>
          <w:sz w:val="22"/>
          <w:szCs w:val="28"/>
        </w:rPr>
      </w:pPr>
    </w:p>
    <w:p w14:paraId="019D5BD9">
      <w:pPr>
        <w:snapToGrid w:val="0"/>
        <w:spacing w:afterLines="0" w:line="360" w:lineRule="auto"/>
        <w:rPr>
          <w:rFonts w:hint="eastAsia" w:ascii="仿宋" w:hAnsi="仿宋" w:eastAsia="仿宋" w:cs="Arial"/>
        </w:rPr>
      </w:pPr>
    </w:p>
    <w:p w14:paraId="0CD93255">
      <w:pPr>
        <w:snapToGrid w:val="0"/>
        <w:spacing w:afterLines="0" w:line="360" w:lineRule="auto"/>
        <w:ind w:firstLine="525" w:firstLineChars="250"/>
        <w:jc w:val="right"/>
        <w:rPr>
          <w:rFonts w:hint="eastAsia" w:ascii="仿宋" w:hAnsi="仿宋" w:eastAsia="仿宋" w:cs="Arial"/>
        </w:rPr>
      </w:pPr>
    </w:p>
    <w:p w14:paraId="036CA316">
      <w:pPr>
        <w:snapToGrid w:val="0"/>
        <w:spacing w:afterLines="0" w:line="360" w:lineRule="auto"/>
        <w:ind w:firstLine="525" w:firstLineChars="250"/>
        <w:jc w:val="right"/>
        <w:rPr>
          <w:rFonts w:hint="eastAsia" w:ascii="仿宋" w:hAnsi="仿宋" w:eastAsia="仿宋" w:cs="Arial"/>
        </w:rPr>
      </w:pPr>
      <w:bookmarkStart w:id="11" w:name="_GoBack"/>
      <w:bookmarkEnd w:id="11"/>
    </w:p>
    <w:p w14:paraId="79B930A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08D014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C76A7D5">
      <w:pPr>
        <w:spacing w:after="78" w:line="288" w:lineRule="auto"/>
        <w:rPr>
          <w:rFonts w:hint="eastAsia" w:ascii="仿宋" w:hAnsi="仿宋" w:eastAsia="仿宋"/>
          <w:b/>
          <w:szCs w:val="21"/>
        </w:rPr>
      </w:pPr>
    </w:p>
    <w:p w14:paraId="7F116234">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33335897"/>
      <w:bookmarkStart w:id="10" w:name="_Toc116850266"/>
      <w:r>
        <w:rPr>
          <w:rFonts w:hint="eastAsia" w:ascii="仿宋" w:hAnsi="仿宋" w:eastAsia="仿宋"/>
          <w:b/>
          <w:bCs/>
          <w:kern w:val="0"/>
          <w:sz w:val="24"/>
        </w:rPr>
        <w:t>响应供应商认为有必要提供的其他材料</w:t>
      </w:r>
      <w:bookmarkEnd w:id="9"/>
      <w:bookmarkEnd w:id="10"/>
    </w:p>
    <w:p w14:paraId="58F15E33">
      <w:pPr>
        <w:spacing w:after="78" w:line="288" w:lineRule="auto"/>
        <w:rPr>
          <w:rFonts w:hint="eastAsia" w:ascii="仿宋" w:hAnsi="仿宋" w:eastAsia="仿宋"/>
          <w:b/>
          <w:szCs w:val="21"/>
        </w:rPr>
      </w:pPr>
    </w:p>
    <w:p w14:paraId="79BAF825"/>
    <w:p w14:paraId="16927C45"/>
    <w:p w14:paraId="6682BF42"/>
    <w:p w14:paraId="3CCEB5CD"/>
    <w:p w14:paraId="59158A5E"/>
    <w:p w14:paraId="1F160A35"/>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8670">
    <w:pPr>
      <w:pStyle w:val="14"/>
    </w:pPr>
  </w:p>
  <w:p w14:paraId="46426BA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2B1A005B">
        <w:pPr>
          <w:pStyle w:val="14"/>
          <w:spacing w:after="60"/>
        </w:pPr>
        <w:r>
          <w:t xml:space="preserve">     </w:t>
        </w:r>
      </w:p>
    </w:sdtContent>
  </w:sdt>
  <w:p w14:paraId="1F8C6E84">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70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49A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D762">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2E4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9D8B">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C95D">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007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1F3269"/>
    <w:rsid w:val="02133CE2"/>
    <w:rsid w:val="02BB189C"/>
    <w:rsid w:val="032633D2"/>
    <w:rsid w:val="03327406"/>
    <w:rsid w:val="06F9F432"/>
    <w:rsid w:val="073F33DE"/>
    <w:rsid w:val="081E4F20"/>
    <w:rsid w:val="08C616B7"/>
    <w:rsid w:val="08CB361B"/>
    <w:rsid w:val="0942333D"/>
    <w:rsid w:val="0A886720"/>
    <w:rsid w:val="0B0E30C9"/>
    <w:rsid w:val="0B701675"/>
    <w:rsid w:val="0C35640D"/>
    <w:rsid w:val="0CC37C41"/>
    <w:rsid w:val="0D7F8C1E"/>
    <w:rsid w:val="0DAFDDD2"/>
    <w:rsid w:val="0E3C3018"/>
    <w:rsid w:val="0FD61205"/>
    <w:rsid w:val="106940DF"/>
    <w:rsid w:val="10DD77C5"/>
    <w:rsid w:val="10EE01D9"/>
    <w:rsid w:val="114F425F"/>
    <w:rsid w:val="11EF2AC8"/>
    <w:rsid w:val="12762B59"/>
    <w:rsid w:val="138076A6"/>
    <w:rsid w:val="13AFEC81"/>
    <w:rsid w:val="15910842"/>
    <w:rsid w:val="163D20FF"/>
    <w:rsid w:val="172D2B29"/>
    <w:rsid w:val="198D3D53"/>
    <w:rsid w:val="1A9D5B89"/>
    <w:rsid w:val="1B077651"/>
    <w:rsid w:val="1B3FC108"/>
    <w:rsid w:val="1BBF5AD0"/>
    <w:rsid w:val="1BF83423"/>
    <w:rsid w:val="1BFB4A9B"/>
    <w:rsid w:val="1BFE3282"/>
    <w:rsid w:val="1C976608"/>
    <w:rsid w:val="1CF92763"/>
    <w:rsid w:val="1E4922D7"/>
    <w:rsid w:val="1E5866DD"/>
    <w:rsid w:val="1F0F1A56"/>
    <w:rsid w:val="1F7F9C30"/>
    <w:rsid w:val="1FB39FF7"/>
    <w:rsid w:val="1FB54372"/>
    <w:rsid w:val="1FFF4E3F"/>
    <w:rsid w:val="21867A05"/>
    <w:rsid w:val="21C01FC7"/>
    <w:rsid w:val="21FE6397"/>
    <w:rsid w:val="225E24B0"/>
    <w:rsid w:val="22FC6147"/>
    <w:rsid w:val="233F7E6C"/>
    <w:rsid w:val="257FF5EF"/>
    <w:rsid w:val="260364B8"/>
    <w:rsid w:val="26422FA6"/>
    <w:rsid w:val="275C47A5"/>
    <w:rsid w:val="27BED872"/>
    <w:rsid w:val="28A36794"/>
    <w:rsid w:val="28F5500F"/>
    <w:rsid w:val="295757E3"/>
    <w:rsid w:val="29833800"/>
    <w:rsid w:val="29E9B391"/>
    <w:rsid w:val="2A266D5E"/>
    <w:rsid w:val="2AB40818"/>
    <w:rsid w:val="2AFDB16C"/>
    <w:rsid w:val="2B3B55D1"/>
    <w:rsid w:val="2B7D8E96"/>
    <w:rsid w:val="2B8F6383"/>
    <w:rsid w:val="2B9B7C50"/>
    <w:rsid w:val="2C87EFA4"/>
    <w:rsid w:val="2CEFA2BD"/>
    <w:rsid w:val="2D4A18E7"/>
    <w:rsid w:val="2D9E346A"/>
    <w:rsid w:val="2DF56335"/>
    <w:rsid w:val="2EFF028F"/>
    <w:rsid w:val="2EFF0385"/>
    <w:rsid w:val="2F01691D"/>
    <w:rsid w:val="2FDFB298"/>
    <w:rsid w:val="2FEBB001"/>
    <w:rsid w:val="30BF60A9"/>
    <w:rsid w:val="30EE09A0"/>
    <w:rsid w:val="32933D30"/>
    <w:rsid w:val="333D6F9A"/>
    <w:rsid w:val="34050BA2"/>
    <w:rsid w:val="340E3EBE"/>
    <w:rsid w:val="35380B68"/>
    <w:rsid w:val="35B53F56"/>
    <w:rsid w:val="36B91E0A"/>
    <w:rsid w:val="36C46BAE"/>
    <w:rsid w:val="375872F6"/>
    <w:rsid w:val="377B856B"/>
    <w:rsid w:val="37FEEEDA"/>
    <w:rsid w:val="383B014F"/>
    <w:rsid w:val="38D20DDA"/>
    <w:rsid w:val="391FB7C6"/>
    <w:rsid w:val="3956852C"/>
    <w:rsid w:val="397D4866"/>
    <w:rsid w:val="3A255BB6"/>
    <w:rsid w:val="3A3B0BB3"/>
    <w:rsid w:val="3A51BFC5"/>
    <w:rsid w:val="3A7647DA"/>
    <w:rsid w:val="3AFD93B8"/>
    <w:rsid w:val="3B1F391F"/>
    <w:rsid w:val="3B459C86"/>
    <w:rsid w:val="3B5F884B"/>
    <w:rsid w:val="3B95BADD"/>
    <w:rsid w:val="3BE251FF"/>
    <w:rsid w:val="3C5D14BF"/>
    <w:rsid w:val="3C7BEB7C"/>
    <w:rsid w:val="3D6C951B"/>
    <w:rsid w:val="3D907193"/>
    <w:rsid w:val="3DB56025"/>
    <w:rsid w:val="3DFF524D"/>
    <w:rsid w:val="3DFF7079"/>
    <w:rsid w:val="3DFFBEE7"/>
    <w:rsid w:val="3EA7FE48"/>
    <w:rsid w:val="3EF86484"/>
    <w:rsid w:val="3EFBCAFF"/>
    <w:rsid w:val="3EFFC981"/>
    <w:rsid w:val="3FBF5430"/>
    <w:rsid w:val="3FD37539"/>
    <w:rsid w:val="3FDFD096"/>
    <w:rsid w:val="3FED8FF1"/>
    <w:rsid w:val="3FFCCAC4"/>
    <w:rsid w:val="3FFE10BE"/>
    <w:rsid w:val="40DE1E4E"/>
    <w:rsid w:val="417EEE12"/>
    <w:rsid w:val="42652233"/>
    <w:rsid w:val="439316CB"/>
    <w:rsid w:val="43A702D9"/>
    <w:rsid w:val="44292F68"/>
    <w:rsid w:val="447045C4"/>
    <w:rsid w:val="465E7674"/>
    <w:rsid w:val="469A6FE4"/>
    <w:rsid w:val="46D36C59"/>
    <w:rsid w:val="477F8B44"/>
    <w:rsid w:val="47C514E3"/>
    <w:rsid w:val="49C317F9"/>
    <w:rsid w:val="4ACDDF1D"/>
    <w:rsid w:val="4BBA3990"/>
    <w:rsid w:val="4C787DC7"/>
    <w:rsid w:val="4C7D012B"/>
    <w:rsid w:val="4CE079D4"/>
    <w:rsid w:val="4DD17A14"/>
    <w:rsid w:val="4DFF1032"/>
    <w:rsid w:val="4E7C2300"/>
    <w:rsid w:val="4ED34B2E"/>
    <w:rsid w:val="4EFDA9D6"/>
    <w:rsid w:val="4EFF30A2"/>
    <w:rsid w:val="4F10078B"/>
    <w:rsid w:val="4F155DA1"/>
    <w:rsid w:val="4F4F0D8E"/>
    <w:rsid w:val="4FF9BA94"/>
    <w:rsid w:val="4FFC2348"/>
    <w:rsid w:val="507F679A"/>
    <w:rsid w:val="51D610EC"/>
    <w:rsid w:val="539B439B"/>
    <w:rsid w:val="543F3462"/>
    <w:rsid w:val="54B15C5C"/>
    <w:rsid w:val="557F0F30"/>
    <w:rsid w:val="559E5CE3"/>
    <w:rsid w:val="55D442DB"/>
    <w:rsid w:val="561E65DB"/>
    <w:rsid w:val="56DD8954"/>
    <w:rsid w:val="57AFC3C2"/>
    <w:rsid w:val="598E5D63"/>
    <w:rsid w:val="59FF3A15"/>
    <w:rsid w:val="5A9E28C7"/>
    <w:rsid w:val="5AFB4A8B"/>
    <w:rsid w:val="5AFFC0B6"/>
    <w:rsid w:val="5B500403"/>
    <w:rsid w:val="5BFAA3C6"/>
    <w:rsid w:val="5C163B75"/>
    <w:rsid w:val="5CEC4049"/>
    <w:rsid w:val="5D69DE7E"/>
    <w:rsid w:val="5D7BEC1C"/>
    <w:rsid w:val="5DDB0F78"/>
    <w:rsid w:val="5DE639DC"/>
    <w:rsid w:val="5E12555D"/>
    <w:rsid w:val="5E426035"/>
    <w:rsid w:val="5E737D05"/>
    <w:rsid w:val="5E8BD0E0"/>
    <w:rsid w:val="5EF54E86"/>
    <w:rsid w:val="5F12D39A"/>
    <w:rsid w:val="5F4E1431"/>
    <w:rsid w:val="5F9C4EB5"/>
    <w:rsid w:val="5FDF7957"/>
    <w:rsid w:val="5FEBE7E7"/>
    <w:rsid w:val="5FF13CC0"/>
    <w:rsid w:val="5FF92615"/>
    <w:rsid w:val="5FF9696C"/>
    <w:rsid w:val="5FFDF639"/>
    <w:rsid w:val="5FFFB48E"/>
    <w:rsid w:val="60A564B5"/>
    <w:rsid w:val="62C70765"/>
    <w:rsid w:val="632641AF"/>
    <w:rsid w:val="633C8FA8"/>
    <w:rsid w:val="633F0871"/>
    <w:rsid w:val="637FE448"/>
    <w:rsid w:val="63BD36A8"/>
    <w:rsid w:val="64D81248"/>
    <w:rsid w:val="651C0920"/>
    <w:rsid w:val="654FD8A0"/>
    <w:rsid w:val="67194FDD"/>
    <w:rsid w:val="6723385B"/>
    <w:rsid w:val="6775E9D8"/>
    <w:rsid w:val="67F565AC"/>
    <w:rsid w:val="67F73327"/>
    <w:rsid w:val="68FA8082"/>
    <w:rsid w:val="69800221"/>
    <w:rsid w:val="69BF38A2"/>
    <w:rsid w:val="69EFC425"/>
    <w:rsid w:val="6ACFA4E7"/>
    <w:rsid w:val="6B6C5664"/>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22B5B"/>
    <w:rsid w:val="705FDC4F"/>
    <w:rsid w:val="71052E2A"/>
    <w:rsid w:val="71D3FAB0"/>
    <w:rsid w:val="729A43E4"/>
    <w:rsid w:val="72EA3F61"/>
    <w:rsid w:val="73412411"/>
    <w:rsid w:val="73692554"/>
    <w:rsid w:val="73EFA308"/>
    <w:rsid w:val="741E75FD"/>
    <w:rsid w:val="750000AA"/>
    <w:rsid w:val="75FB540A"/>
    <w:rsid w:val="767774B9"/>
    <w:rsid w:val="767F8E38"/>
    <w:rsid w:val="76C15DFA"/>
    <w:rsid w:val="76C826FD"/>
    <w:rsid w:val="76CD1315"/>
    <w:rsid w:val="76D34A4F"/>
    <w:rsid w:val="76DF1811"/>
    <w:rsid w:val="76F74DDF"/>
    <w:rsid w:val="773EFEC2"/>
    <w:rsid w:val="77567AD1"/>
    <w:rsid w:val="77613082"/>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5093</Words>
  <Characters>5335</Characters>
  <Lines>20</Lines>
  <Paragraphs>36</Paragraphs>
  <TotalTime>4</TotalTime>
  <ScaleCrop>false</ScaleCrop>
  <LinksUpToDate>false</LinksUpToDate>
  <CharactersWithSpaces>5708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2025-06-20T06:29:32Z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54B2D3AF650742A2B627ECA92BA512D1_13</vt:lpwstr>
  </property>
  <property fmtid="{D5CDD505-2E9C-101B-9397-08002B2CF9AE}" pid="4" name="KSOTemplateDocerSaveRecord">
    <vt:lpwstr>eyJoZGlkIjoiMTU5M2UyM2ZhMjE3YmE4NTM2ZDRiY2MwNGRmZDE1MDkiLCJ1c2VySWQiOiIxMTI5MTIyMDM4In0=</vt:lpwstr>
  </property>
</Properties>
</file>